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НАДЗОРНАЯ ЖАЛОБА В ПРЕЗИДИУМ ВЕРХОВНОГО СУДА РФ</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Для документа «Надзорная жалоба в Президиум Верховного Суда РФ»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Заявитель указывает фундаментальное нарушение единообразия, прав неопределенного круга лиц либо иных охраняемых законом интересов, соответствующее исключительной природе надзора.</w:t>
      </w:r>
    </w:p>
    <w:p>
      <w:pPr>
        <w:keepNext w:val="0"/>
        <w:spacing w:before="0" w:after="80" w:line="276" w:lineRule="auto"/>
        <w:ind w:firstLine="709"/>
        <w:jc w:val="both"/>
      </w:pPr>
      <w:r>
        <w:rPr>
          <w:rFonts w:ascii="Times New Roman" w:hAnsi="Times New Roman" w:eastAsia="Times New Roman"/>
          <w:b w:val="0"/>
          <w:i w:val="0"/>
          <w:sz w:val="24"/>
        </w:rPr>
        <w:t>Жалоба не повторяет все доводы прежних инстанций, а выделяет основание надзорного вмешательства.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раздел IV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36.1 АПК РФ либо глава 41.1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Передать надзорную жалобу для рассмотрения в судебном заседании Президиума Верховного Суда РФ.</w:t>
      </w:r>
    </w:p>
    <w:p>
      <w:pPr>
        <w:spacing w:after="60" w:line="276" w:lineRule="auto"/>
        <w:ind w:left="454" w:hanging="454"/>
        <w:jc w:val="both"/>
      </w:pPr>
      <w:r>
        <w:rPr>
          <w:rFonts w:ascii="Times New Roman" w:hAnsi="Times New Roman" w:eastAsia="Times New Roman"/>
          <w:b w:val="0"/>
          <w:i w:val="0"/>
          <w:sz w:val="24"/>
        </w:rPr>
        <w:t>2. Отменить / изменить обжалуемые акты и принять допустимое полномочиями решение.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Надзорная жалоба в Президиум Верховного Суда РФ</dc:title>
  <dc:subject>Подробный образец № 170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