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ВСТРЕЧНОЕ ИСКОВОЕ ЗАЯВЛЕНИЕ В АРБИТРАЖНОМ ПРОЦЕССЕ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Совместное рассмотрение оправдано, поскольку требования направлены к зачету, исключают первоначальное требование либо основаны на одном договоре и доказательствах.</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Первоначальный истец взыскивает цену поставки, а ответчик требует взыскать стоимость устранения доказанных недостатков и произвести зачет. Оба требования вытекают из одного договора, исследуются по общим УПД, актам приемки и переписке.</w:t>
      </w:r>
    </w:p>
    <w:p>
      <w:pPr>
        <w:keepNext w:val="0"/>
        <w:spacing w:before="0" w:after="80" w:line="276" w:lineRule="auto"/>
        <w:ind w:firstLine="709"/>
        <w:jc w:val="both"/>
      </w:pPr>
      <w:r>
        <w:rPr>
          <w:rFonts w:ascii="Times New Roman" w:hAnsi="Times New Roman" w:eastAsia="Times New Roman"/>
          <w:b w:val="0"/>
          <w:i w:val="0"/>
          <w:sz w:val="24"/>
        </w:rPr>
        <w:t>Совместное рассмотрение позволит определить итоговое сальдо и исключить противоречащие решения. Встречный иск подан до завершения рассмотрения дела и отвечает самостоятельным требованиям к форме и приложениям.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встречный иск к совместному рассмотрению.</w:t>
      </w:r>
    </w:p>
    <w:p>
      <w:pPr>
        <w:spacing w:after="60" w:line="276" w:lineRule="auto"/>
        <w:ind w:left="454" w:hanging="454"/>
        <w:jc w:val="both"/>
      </w:pPr>
      <w:r>
        <w:rPr>
          <w:rFonts w:ascii="Times New Roman" w:hAnsi="Times New Roman" w:eastAsia="Times New Roman"/>
          <w:b w:val="0"/>
          <w:i w:val="0"/>
          <w:sz w:val="24"/>
        </w:rPr>
        <w:t>2. Удовлетворить встречное требование / произвести зачет.</w:t>
      </w:r>
    </w:p>
    <w:p>
      <w:pPr>
        <w:spacing w:after="60" w:line="276" w:lineRule="auto"/>
        <w:ind w:left="454" w:hanging="454"/>
        <w:jc w:val="both"/>
      </w:pPr>
      <w:r>
        <w:rPr>
          <w:rFonts w:ascii="Times New Roman" w:hAnsi="Times New Roman" w:eastAsia="Times New Roman"/>
          <w:b w:val="0"/>
          <w:i w:val="0"/>
          <w:sz w:val="24"/>
        </w:rPr>
        <w:t>3. Определить итоговое сальдо и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Встречное исковое заявление в арбитражном процессе</dc:title>
  <dc:subject>Подробный образец № 17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