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ХОДАТАЙСТВО О ПРИОСТАНОВЛЕНИИ ИСПОЛНЕНИЯ СУДЕБНОГО АКТА В КАССАЦИИ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Указывается конкретное другое производство или событие, без разрешения которого объективно невозможно рассмотреть дело.</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Исполнение до рассмотрения жалобы создаст риск невозможности поворота, например отчуждение индивидуального имущества или перечисление средств лицу без активов.</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обеспечение и подтверждает реальность кассационного производства и риска.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Приостановить исполнение обжалуемых судебных актов до окончания кассационного производства.</w:t>
      </w:r>
    </w:p>
    <w:p>
      <w:pPr>
        <w:spacing w:after="60" w:line="276" w:lineRule="auto"/>
        <w:ind w:left="454" w:hanging="454"/>
        <w:jc w:val="both"/>
      </w:pPr>
      <w:r>
        <w:rPr>
          <w:rFonts w:ascii="Times New Roman" w:hAnsi="Times New Roman" w:eastAsia="Times New Roman"/>
          <w:b w:val="0"/>
          <w:i w:val="0"/>
          <w:sz w:val="24"/>
        </w:rPr>
        <w:t>2. Принять предложенное встречное обеспечение / обеспечение поворота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приостановлении исполнения судебного акта в кассации</dc:title>
  <dc:subject>Подробный образец № 166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