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КАССАЦИОННАЯ ЖАЛОБА В КАССАЦИОННЫЙ СУД ОБЩЕЙ ЮРИСДИКЦИИ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Кассация сосредоточена на существенных нарушениях права и не должна превращаться в просьбу заново оценить доказательства.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Нижестоящие суды применили норму без учета ее обязательных условий либо существенно нарушили процедуру, что повлияло на исход.</w:t>
      </w:r>
    </w:p>
    <w:p>
      <w:pPr>
        <w:keepNext w:val="0"/>
        <w:spacing w:before="0" w:after="80" w:line="276" w:lineRule="auto"/>
        <w:ind w:firstLine="709"/>
        <w:jc w:val="both"/>
      </w:pPr>
      <w:r>
        <w:rPr>
          <w:rFonts w:ascii="Times New Roman" w:hAnsi="Times New Roman" w:eastAsia="Times New Roman"/>
          <w:b w:val="0"/>
          <w:i w:val="0"/>
          <w:sz w:val="24"/>
        </w:rPr>
        <w:t>Жалоба не просит переоценить доказательства, а показывает, какие выводы не соответствуют установленным судами фактам и закону.</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Главы 39, 41 и 41.1 ГПК РФ регулируют апелляцию, кассацию и надзор.</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раздел IV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главы 35 и 36.1 АПК РФ либо главы 41 и 41.1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Отменить / изменить обжалуемые судебные акты полностью / в части.</w:t>
      </w:r>
    </w:p>
    <w:p>
      <w:pPr>
        <w:spacing w:after="60" w:line="276" w:lineRule="auto"/>
        <w:ind w:left="454" w:hanging="454"/>
        <w:jc w:val="both"/>
      </w:pPr>
      <w:r>
        <w:rPr>
          <w:rFonts w:ascii="Times New Roman" w:hAnsi="Times New Roman" w:eastAsia="Times New Roman"/>
          <w:b w:val="0"/>
          <w:i w:val="0"/>
          <w:sz w:val="24"/>
        </w:rPr>
        <w:t>2. Направить дело на новое рассмотрение либо принять новый акт — в зависимости от установленных нарушений и полномочий суда.</w:t>
      </w:r>
    </w:p>
    <w:p>
      <w:pPr>
        <w:spacing w:after="60" w:line="276" w:lineRule="auto"/>
        <w:ind w:left="454" w:hanging="454"/>
        <w:jc w:val="both"/>
      </w:pPr>
      <w:r>
        <w:rPr>
          <w:rFonts w:ascii="Times New Roman" w:hAnsi="Times New Roman" w:eastAsia="Times New Roman"/>
          <w:b w:val="0"/>
          <w:i w:val="0"/>
          <w:sz w:val="24"/>
        </w:rPr>
        <w:t>3. Разрешить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Кассационная жалоба в кассационный суд общей юрисдикции</dc:title>
  <dc:subject>Подробный образец № 162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