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ДОПОЛНЕНИЕ К АПЕЛЛЯЦИОННОЙ ЖАЛОБЕ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После ознакомления с аудиозаписью и материалами заявитель уточнил уже заявленный довод о нерассмотренном ходатайстве.</w:t>
      </w:r>
    </w:p>
    <w:p>
      <w:pPr>
        <w:keepNext w:val="0"/>
        <w:spacing w:before="0" w:after="80" w:line="276" w:lineRule="auto"/>
        <w:ind w:firstLine="709"/>
        <w:jc w:val="both"/>
      </w:pPr>
      <w:r>
        <w:rPr>
          <w:rFonts w:ascii="Times New Roman" w:hAnsi="Times New Roman" w:eastAsia="Times New Roman"/>
          <w:b w:val="0"/>
          <w:i w:val="0"/>
          <w:sz w:val="24"/>
        </w:rPr>
        <w:t>Дополнение не меняет предмет обжалования после истечения срока и заранее направлено участникам.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320–328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обжалуемый акт.</w:t>
      </w:r>
    </w:p>
    <w:p>
      <w:pPr>
        <w:spacing w:after="60" w:line="276" w:lineRule="auto"/>
        <w:ind w:left="454" w:hanging="454"/>
        <w:jc w:val="both"/>
      </w:pPr>
      <w:r>
        <w:rPr>
          <w:rFonts w:ascii="Times New Roman" w:hAnsi="Times New Roman" w:eastAsia="Times New Roman"/>
          <w:b w:val="0"/>
          <w:i w:val="0"/>
          <w:sz w:val="24"/>
        </w:rPr>
        <w:t>2. Принять новый акт либо направить дело на новое рассмотрение в пределах полномочий.</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Дополнение к апелляционной жалобе</dc:title>
  <dc:subject>Подробный образец № 155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