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ЗАЧЁТЕ РАНЕЕ УПЛАЧЕННОЙ ГОСУДАРСТВЕННОЙ ПОШЛИНЫ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зачёте ранее уплаченной государственной пошлины»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Ранее уплаченная пошлина не была использована вследствие возвращения заявления, и заявитель обращается повторно в пределах допустимого срока.</w:t>
      </w:r>
    </w:p>
    <w:p>
      <w:pPr>
        <w:keepNext w:val="0"/>
        <w:spacing w:before="0" w:after="80" w:line="276" w:lineRule="auto"/>
        <w:ind w:firstLine="709"/>
        <w:jc w:val="both"/>
      </w:pPr>
      <w:r>
        <w:rPr>
          <w:rFonts w:ascii="Times New Roman" w:hAnsi="Times New Roman" w:eastAsia="Times New Roman"/>
          <w:b w:val="0"/>
          <w:i w:val="0"/>
          <w:sz w:val="24"/>
        </w:rPr>
        <w:t>Указаны платеж, судебный акт и сумма, подлежащая зачету, а разница доплачена при необходимости.</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88, 94, 98, 100 и 103.1 ГПК РФ, глава 25.3 НК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Зачесть ранее уплаченную государственную пошлину [сумма] руб. в счет пошлины по настоящему обращению.</w:t>
      </w:r>
    </w:p>
    <w:p>
      <w:pPr>
        <w:spacing w:after="60" w:line="276" w:lineRule="auto"/>
        <w:ind w:left="454" w:hanging="454"/>
        <w:jc w:val="both"/>
      </w:pPr>
      <w:r>
        <w:rPr>
          <w:rFonts w:ascii="Times New Roman" w:hAnsi="Times New Roman" w:eastAsia="Times New Roman"/>
          <w:b w:val="0"/>
          <w:i w:val="0"/>
          <w:sz w:val="24"/>
        </w:rPr>
        <w:t>2. Принять заявление к производству с учетом произведенного зачета.</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зачёте ранее уплаченной государственной пошлины</dc:title>
  <dc:subject>Подробный образец № 150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