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Мировому судье судебного участка № [номер]</w:t>
        <w:br/>
      </w:r>
      <w:r>
        <w:rPr>
          <w:rFonts w:ascii="Times New Roman" w:hAnsi="Times New Roman" w:eastAsia="Times New Roman"/>
          <w:b w:val="0"/>
          <w:i w:val="0"/>
          <w:sz w:val="21"/>
        </w:rPr>
        <w:t>Заявитель / взыскатель: [сведения]</w:t>
        <w:br/>
      </w:r>
      <w:r>
        <w:rPr>
          <w:rFonts w:ascii="Times New Roman" w:hAnsi="Times New Roman" w:eastAsia="Times New Roman"/>
          <w:b w:val="0"/>
          <w:i w:val="0"/>
          <w:sz w:val="21"/>
        </w:rPr>
        <w:t>Ответчик / должник: [сведения]</w:t>
        <w:br/>
      </w:r>
      <w:r>
        <w:rPr>
          <w:rFonts w:ascii="Times New Roman" w:hAnsi="Times New Roman" w:eastAsia="Times New Roman"/>
          <w:b w:val="0"/>
          <w:i w:val="0"/>
          <w:sz w:val="21"/>
        </w:rPr>
        <w:t>Цена требования: [сумма] руб.</w:t>
      </w:r>
    </w:p>
    <w:p>
      <w:pPr>
        <w:spacing w:before="160" w:after="120"/>
        <w:jc w:val="center"/>
      </w:pPr>
      <w:r>
        <w:rPr>
          <w:rFonts w:ascii="Times New Roman" w:hAnsi="Times New Roman" w:eastAsia="Times New Roman"/>
          <w:b/>
          <w:i w:val="0"/>
          <w:sz w:val="28"/>
        </w:rPr>
        <w:t>ИСКОВОЕ ЗАЯВЛЕНИЕ МИРОВОМУ СУДЬЕ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мировому судье»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Требование возникло из письменного договора займа между гражданами и относится к компетенции мирового судьи с учетом характера и цены спора на дату обращения. Оригинал расписки имеется у истца, частичный возврат отражен в банковской выписке.</w:t>
      </w:r>
    </w:p>
    <w:p>
      <w:pPr>
        <w:keepNext w:val="0"/>
        <w:spacing w:before="0" w:after="80" w:line="276" w:lineRule="auto"/>
        <w:ind w:firstLine="709"/>
        <w:jc w:val="both"/>
      </w:pPr>
      <w:r>
        <w:rPr>
          <w:rFonts w:ascii="Times New Roman" w:hAnsi="Times New Roman" w:eastAsia="Times New Roman"/>
          <w:b w:val="0"/>
          <w:i w:val="0"/>
          <w:sz w:val="24"/>
        </w:rPr>
        <w:t>Истец указывает идентификаторы сторон, цену иска, расчет и сведения о ранее отмененном судебном приказе, если приказное производство предшествовало иску.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мировому судье</dc:title>
  <dc:subject>Подробный образец № 15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