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ВЗЫСКАНИИ СУДЕБНЫХ РАСХОДОВ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Заявитель выиграл спор полностью или в соответствующей части и фактически понес расходы, подтвержденные договором, актом, счетом и платежом.</w:t>
      </w:r>
    </w:p>
    <w:p>
      <w:pPr>
        <w:keepNext w:val="0"/>
        <w:spacing w:before="0" w:after="80" w:line="276" w:lineRule="auto"/>
        <w:ind w:firstLine="709"/>
        <w:jc w:val="both"/>
      </w:pPr>
      <w:r>
        <w:rPr>
          <w:rFonts w:ascii="Times New Roman" w:hAnsi="Times New Roman" w:eastAsia="Times New Roman"/>
          <w:b w:val="0"/>
          <w:i w:val="0"/>
          <w:sz w:val="24"/>
        </w:rPr>
        <w:t>Расчет связывает каждую сумму с конкретным процессуальным действием и исключает расходы, не относящиеся к делу или не оплаченные заявителем.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101–112 АПК РФ либо статьи 88–104, 103.1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 [лицо] судебные расходы в размере [сумма] руб. согласно детализированному расчету.</w:t>
      </w:r>
    </w:p>
    <w:p>
      <w:pPr>
        <w:spacing w:after="60" w:line="276" w:lineRule="auto"/>
        <w:ind w:left="454" w:hanging="454"/>
        <w:jc w:val="both"/>
      </w:pPr>
      <w:r>
        <w:rPr>
          <w:rFonts w:ascii="Times New Roman" w:hAnsi="Times New Roman" w:eastAsia="Times New Roman"/>
          <w:b w:val="0"/>
          <w:i w:val="0"/>
          <w:sz w:val="24"/>
        </w:rPr>
        <w:t>2. Распределить расходы пропорционально результату спора и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взыскании судебных расходов</dc:title>
  <dc:subject>Подробный образец № 141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