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УНИВЕРСАЛЬНОЕ ИСКОВОЕ ЗАЯВЛЕНИЕ В АРБИТРАЖНЫЙ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«Универсальное исковое заявление в арбитражный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Истец требует взыскать с покупателя 1 500 000 руб. неоплаченной стоимости поставленного металлопроката, договорную неустойку по расчету и расходы по пошлине. Товар принят без замечаний, частично оплачен, обязательный претензионный срок истек.</w:t>
      </w:r>
    </w:p>
    <w:p>
      <w:pPr>
        <w:keepNext w:val="0"/>
        <w:spacing w:before="0" w:after="80" w:line="276" w:lineRule="auto"/>
        <w:ind w:firstLine="709"/>
        <w:jc w:val="both"/>
      </w:pPr>
      <w:r>
        <w:rPr>
          <w:rFonts w:ascii="Times New Roman" w:hAnsi="Times New Roman" w:eastAsia="Times New Roman"/>
          <w:b w:val="0"/>
          <w:i w:val="0"/>
          <w:sz w:val="24"/>
        </w:rPr>
        <w:t>Иск содержит сведения о договоре, каждой партии, сроке оплаты, частичных платежах и дате получения претензии. Цена иска рассчитана на дату подачи; дальнейшая неустойка заявляется только в допустимой и исполнимой формулировке.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Универсальное исковое заявление в арбитражный суд</dc:title>
  <dc:subject>Подробный образец № 13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