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ПИСЬМЕННЫЕ ПОЯСНЕНИЯ ПО ДЕЛУ, РАССМАТРИВАЕМОМУ В УПРОЩЁННОМ ПОРЯДКЕ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«Письменные пояснения по делу, рассматриваемому в упрощённом порядке»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Сторона в установленные судом даты раскрывает основную и дополнительную позицию, отвечает на документы оппонента и соблюдает лимиты электронного производства.</w:t>
      </w:r>
    </w:p>
    <w:p>
      <w:pPr>
        <w:keepNext w:val="0"/>
        <w:spacing w:before="0" w:after="80" w:line="276" w:lineRule="auto"/>
        <w:ind w:firstLine="709"/>
        <w:jc w:val="both"/>
      </w:pPr>
      <w:r>
        <w:rPr>
          <w:rFonts w:ascii="Times New Roman" w:hAnsi="Times New Roman" w:eastAsia="Times New Roman"/>
          <w:b w:val="0"/>
          <w:i w:val="0"/>
          <w:sz w:val="24"/>
        </w:rPr>
        <w:t>Пояснения структурированы по фактам и расчету и не содержат новых скрытых доказательств после истечения срока без уважительной причины.</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232.1–232.4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227–229 АПК РФ либо статьи 232.1–232.4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Удовлетворить заявление: письменные пояснения по делу, рассматриваемому в упрощённом порядке.</w:t>
      </w:r>
    </w:p>
    <w:p>
      <w:pPr>
        <w:spacing w:after="60" w:line="276" w:lineRule="auto"/>
        <w:ind w:left="454" w:hanging="454"/>
        <w:jc w:val="both"/>
      </w:pPr>
      <w:r>
        <w:rPr>
          <w:rFonts w:ascii="Times New Roman" w:hAnsi="Times New Roman" w:eastAsia="Times New Roman"/>
          <w:b w:val="0"/>
          <w:i w:val="0"/>
          <w:sz w:val="24"/>
        </w:rPr>
        <w:t>2. Совершить последующие процессуальные действия.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Судебный акт / приказ, в отношении которого подается документ.</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расчета срока.</w:t>
      </w:r>
    </w:p>
    <w:p>
      <w:pPr>
        <w:spacing w:after="60" w:line="276" w:lineRule="auto"/>
        <w:ind w:left="454" w:hanging="454"/>
        <w:jc w:val="both"/>
      </w:pPr>
      <w:r>
        <w:rPr>
          <w:rFonts w:ascii="Times New Roman" w:hAnsi="Times New Roman" w:eastAsia="Times New Roman"/>
          <w:b w:val="0"/>
          <w:i w:val="0"/>
          <w:sz w:val="24"/>
        </w:rPr>
        <w:t>3. Документы, подтверждающие специальное основание заявления.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Письменные пояснения по делу, рассматриваемому в упрощённом порядке</dc:title>
  <dc:subject>Подробный образец № 127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