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РАССМОТРЕНИЯ ДЕЛА В УПРОЩЁННОМ ПОРЯДКЕ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«Возражения против рассмотрения дела в упрощённом порядке»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Для разрешения необходимо исследовать оригинал, допросить свидетеля и провести экспертизу, что невозможно полноценно сделать только по письменным материалам.</w:t>
      </w:r>
    </w:p>
    <w:p>
      <w:pPr>
        <w:keepNext w:val="0"/>
        <w:spacing w:before="0" w:after="80" w:line="276" w:lineRule="auto"/>
        <w:ind w:firstLine="709"/>
        <w:jc w:val="both"/>
      </w:pPr>
      <w:r>
        <w:rPr>
          <w:rFonts w:ascii="Times New Roman" w:hAnsi="Times New Roman" w:eastAsia="Times New Roman"/>
          <w:b w:val="0"/>
          <w:i w:val="0"/>
          <w:sz w:val="24"/>
        </w:rPr>
        <w:t>Сторона объясняет, какие конкретные обстоятельства требуют заседания, а не просто выражает желание участвовать устно.</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232.1–232.4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227–229 АПК РФ либо статьи 232.1–232.4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Перейти к рассмотрению дела по общим правилам искового производства.</w:t>
      </w:r>
    </w:p>
    <w:p>
      <w:pPr>
        <w:spacing w:after="60" w:line="276" w:lineRule="auto"/>
        <w:ind w:left="454" w:hanging="454"/>
        <w:jc w:val="both"/>
      </w:pPr>
      <w:r>
        <w:rPr>
          <w:rFonts w:ascii="Times New Roman" w:hAnsi="Times New Roman" w:eastAsia="Times New Roman"/>
          <w:b w:val="0"/>
          <w:i w:val="0"/>
          <w:sz w:val="24"/>
        </w:rPr>
        <w:t>2. Назначить судебное заседание с вызовом лиц и разрешить заявленные доказательственные ходатайства.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рассмотрения дела в упрощённом порядке</dc:title>
  <dc:subject>Подробный образец № 125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