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ВЫДАЧЕ СУДЕБНОГО ПРИКАЗА В АРБИТРАЖНЫЙ СУД</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выдаче судебного приказа в арбитражный суд»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Требование основано на подписанном акте сверки и документах, подтверждающих признанный денежный долг, и соответствует условиям приказного производства на дату подачи.</w:t>
      </w:r>
    </w:p>
    <w:p>
      <w:pPr>
        <w:keepNext w:val="0"/>
        <w:spacing w:before="0" w:after="80" w:line="276" w:lineRule="auto"/>
        <w:ind w:firstLine="709"/>
        <w:jc w:val="both"/>
      </w:pPr>
      <w:r>
        <w:rPr>
          <w:rFonts w:ascii="Times New Roman" w:hAnsi="Times New Roman" w:eastAsia="Times New Roman"/>
          <w:b w:val="0"/>
          <w:i w:val="0"/>
          <w:sz w:val="24"/>
        </w:rPr>
        <w:t>Взыскатель указывает основной долг, допустимые начисления и направляет должнику документы в установленном порядке.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229.1–229.6 АПК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229.1–229.6 АПК РФ либо статьи 121–130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Выдать судебный приказ о взыскании с [должник] в пользу [взыскатель] [основной долг] руб., [начисления] руб. и государственной пошлины.</w:t>
      </w:r>
    </w:p>
    <w:p>
      <w:pPr>
        <w:spacing w:after="60" w:line="276" w:lineRule="auto"/>
        <w:ind w:left="454" w:hanging="454"/>
        <w:jc w:val="both"/>
      </w:pPr>
      <w:r>
        <w:rPr>
          <w:rFonts w:ascii="Times New Roman" w:hAnsi="Times New Roman" w:eastAsia="Times New Roman"/>
          <w:b w:val="0"/>
          <w:i w:val="0"/>
          <w:sz w:val="24"/>
        </w:rPr>
        <w:t>2. Направить копию приказа должнику в установленном порядке.</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выдаче судебного приказа в арбитражный суд</dc:title>
  <dc:subject>Подробный образец № 119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