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РАЗЪЯСНЕНИИ СУДЕБНОГО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разъяснении судебного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Резолютивная часть допускает несколько толкований относительно срока или порядка передачи имущества, что препятствует исполнению.</w:t>
      </w:r>
    </w:p>
    <w:p>
      <w:pPr>
        <w:keepNext w:val="0"/>
        <w:spacing w:before="0" w:after="80" w:line="276" w:lineRule="auto"/>
        <w:ind w:firstLine="709"/>
        <w:jc w:val="both"/>
      </w:pPr>
      <w:r>
        <w:rPr>
          <w:rFonts w:ascii="Times New Roman" w:hAnsi="Times New Roman" w:eastAsia="Times New Roman"/>
          <w:b w:val="0"/>
          <w:i w:val="0"/>
          <w:sz w:val="24"/>
        </w:rPr>
        <w:t>Заявитель просит разъяснить способ исполнения без изменения присужденного и без разрешения нового требования.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Разъяснить решение в части [неясная формулировка], указав порядок его исполнения без изменения содержания.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разъяснении судебного решения</dc:title>
  <dc:subject>Подробный образец № 115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