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ИСПРАВЛЕНИИ ОПИСКИ ИЛИ АРИФМЕТИЧЕСКОЙ ОШИБКИ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исправлении описки или арифметической ошибки»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В резолютивной части неверно указана цифра в ИНН или арифметический итог, тогда как мотивировка и расчет позволяют установить правильное значение.</w:t>
      </w:r>
    </w:p>
    <w:p>
      <w:pPr>
        <w:keepNext w:val="0"/>
        <w:spacing w:before="0" w:after="80" w:line="276" w:lineRule="auto"/>
        <w:ind w:firstLine="709"/>
        <w:jc w:val="both"/>
      </w:pPr>
      <w:r>
        <w:rPr>
          <w:rFonts w:ascii="Times New Roman" w:hAnsi="Times New Roman" w:eastAsia="Times New Roman"/>
          <w:b w:val="0"/>
          <w:i w:val="0"/>
          <w:sz w:val="24"/>
        </w:rPr>
        <w:t>Исправление не меняет существа решения и формулируется дословно: какую запись заменить и на какую.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Исправить в [часть акта] запись «[ошибочно]» на «[правильно]».</w:t>
      </w:r>
    </w:p>
    <w:p>
      <w:pPr>
        <w:spacing w:after="60" w:line="276" w:lineRule="auto"/>
        <w:ind w:left="454" w:hanging="454"/>
        <w:jc w:val="both"/>
      </w:pPr>
      <w:r>
        <w:rPr>
          <w:rFonts w:ascii="Times New Roman" w:hAnsi="Times New Roman" w:eastAsia="Times New Roman"/>
          <w:b w:val="0"/>
          <w:i w:val="0"/>
          <w:sz w:val="24"/>
        </w:rPr>
        <w:t>2. Направить исправленный акт участникам и при необходимости выдать новый исполнительный лист.</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исправлении описки или арифметической ошибки</dc:title>
  <dc:subject>Подробный образец № 114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