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ЗАМЕЧАНИЯ НА АУДИОПРОТОКОЛ СУДЕБНОГО ЗАСЕДАНИЯ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Приводятся точная неверная формулировка, правильная редакция и временная отметка аудиозаписи.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В протоколе отсутствует заявленное ходатайство и ответ свидетеля на существенный вопрос либо аудиозапись содержит технический пропуск.</w:t>
      </w:r>
    </w:p>
    <w:p>
      <w:pPr>
        <w:keepNext w:val="0"/>
        <w:spacing w:before="0" w:after="80" w:line="276" w:lineRule="auto"/>
        <w:ind w:firstLine="709"/>
        <w:jc w:val="both"/>
      </w:pPr>
      <w:r>
        <w:rPr>
          <w:rFonts w:ascii="Times New Roman" w:hAnsi="Times New Roman" w:eastAsia="Times New Roman"/>
          <w:b w:val="0"/>
          <w:i w:val="0"/>
          <w:sz w:val="24"/>
        </w:rPr>
        <w:t>Заявитель приводит точную неправильную и предлагаемую редакцию, временные отметки и соблюдение срока подачи замечаний.</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Удостоверить правильность настоящих замечаний.</w:t>
      </w:r>
    </w:p>
    <w:p>
      <w:pPr>
        <w:spacing w:after="60" w:line="276" w:lineRule="auto"/>
        <w:ind w:left="454" w:hanging="454"/>
        <w:jc w:val="both"/>
      </w:pPr>
      <w:r>
        <w:rPr>
          <w:rFonts w:ascii="Times New Roman" w:hAnsi="Times New Roman" w:eastAsia="Times New Roman"/>
          <w:b w:val="0"/>
          <w:i w:val="0"/>
          <w:sz w:val="24"/>
        </w:rPr>
        <w:t>2. Дополнить / исправить протокол в конкретно указанной редакции.</w:t>
      </w:r>
    </w:p>
    <w:p>
      <w:pPr>
        <w:spacing w:after="60" w:line="276" w:lineRule="auto"/>
        <w:ind w:left="454" w:hanging="454"/>
        <w:jc w:val="both"/>
      </w:pPr>
      <w:r>
        <w:rPr>
          <w:rFonts w:ascii="Times New Roman" w:hAnsi="Times New Roman" w:eastAsia="Times New Roman"/>
          <w:b w:val="0"/>
          <w:i w:val="0"/>
          <w:sz w:val="24"/>
        </w:rPr>
        <w:t>3. Приобщить замечания и результат их рассмотрения к материалам дела.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Замечания на аудиопротокол судебного заседания</dc:title>
  <dc:subject>Подробный образец № 109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