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ОТВОДЕ ПЕРЕВОДЧИКА ИЛИ СПЕЦИАЛИСТА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Приводится предусмотренное законом объективное основание, а не несогласие с процессуальными решениями.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Участник выявил недостаточную компетентность либо зависимость привлеченного лица, способную повлиять на точность перевода или консультации.</w:t>
      </w:r>
    </w:p>
    <w:p>
      <w:pPr>
        <w:keepNext w:val="0"/>
        <w:spacing w:before="0" w:after="80" w:line="276" w:lineRule="auto"/>
        <w:ind w:firstLine="709"/>
        <w:jc w:val="both"/>
      </w:pPr>
      <w:r>
        <w:rPr>
          <w:rFonts w:ascii="Times New Roman" w:hAnsi="Times New Roman" w:eastAsia="Times New Roman"/>
          <w:b w:val="0"/>
          <w:i w:val="0"/>
          <w:sz w:val="24"/>
        </w:rPr>
        <w:t>Приводятся конкретные ошибки, документы о связи и предлагается кандидатура замены при наличии.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21–26 АПК РФ либо статьи 16–21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Отвести [переводчика/специалиста] [ФИО].</w:t>
      </w:r>
    </w:p>
    <w:p>
      <w:pPr>
        <w:spacing w:after="60" w:line="276" w:lineRule="auto"/>
        <w:ind w:left="454" w:hanging="454"/>
        <w:jc w:val="both"/>
      </w:pPr>
      <w:r>
        <w:rPr>
          <w:rFonts w:ascii="Times New Roman" w:hAnsi="Times New Roman" w:eastAsia="Times New Roman"/>
          <w:b w:val="0"/>
          <w:i w:val="0"/>
          <w:sz w:val="24"/>
        </w:rPr>
        <w:t>2. Привлечь иное компетентное и независимое лицо.</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подтверждающие конкретное основание отвода.</w:t>
      </w:r>
    </w:p>
    <w:p>
      <w:pPr>
        <w:spacing w:after="60" w:line="276" w:lineRule="auto"/>
        <w:ind w:left="454" w:hanging="454"/>
        <w:jc w:val="both"/>
      </w:pPr>
      <w:r>
        <w:rPr>
          <w:rFonts w:ascii="Times New Roman" w:hAnsi="Times New Roman" w:eastAsia="Times New Roman"/>
          <w:b w:val="0"/>
          <w:i w:val="0"/>
          <w:sz w:val="24"/>
        </w:rPr>
        <w:t>2.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3.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отводе переводчика или специалиста</dc:title>
  <dc:subject>Подробный образец № 102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