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"/>
        <w:gridCol w:w="8901"/>
      </w:tblGrid>
      <w:tr>
        <w:tc>
          <w:tcPr>
            <w:tcW w:type="dxa" w:w="181"/>
            <w:shd w:fill="2F6B57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8901"/>
            <w:tcMar>
              <w:top w:w="120" w:type="dxa"/>
              <w:start w:w="180" w:type="dxa"/>
              <w:bottom w:w="120" w:type="dxa"/>
              <w:end w:w="180" w:type="dxa"/>
            </w:tcMar>
            <w:vAlign w:val="top"/>
          </w:tcPr>
          <w:p>
            <w:pPr>
              <w:jc w:val="left"/>
            </w:pPr>
            <w:r>
              <w:rPr>
                <w:rFonts w:ascii="Times New Roman" w:hAnsi="Times New Roman"/>
                <w:b/>
                <w:sz w:val="19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/>
                <w:sz w:val="19"/>
              </w:rPr>
              <w:t>115225, г. Москва, ул. Большая Тульская, д. 17</w:t>
            </w:r>
            <w:r>
              <w:br/>
            </w:r>
            <w:r>
              <w:rPr>
                <w:rFonts w:ascii="Times New Roman" w:hAnsi="Times New Roman"/>
                <w:sz w:val="19"/>
              </w:rPr>
            </w:r>
            <w:r>
              <w:br/>
            </w:r>
            <w:r>
              <w:rPr>
                <w:rFonts w:ascii="Times New Roman" w:hAnsi="Times New Roman"/>
                <w:b/>
                <w:sz w:val="19"/>
              </w:rPr>
              <w:t>Дело № [А40-________/20__]</w:t>
            </w:r>
            <w:r>
              <w:br/>
            </w:r>
            <w:r>
              <w:rPr>
                <w:rFonts w:ascii="Times New Roman" w:hAnsi="Times New Roman"/>
                <w:sz w:val="19"/>
              </w:rPr>
            </w:r>
            <w:r>
              <w:br/>
            </w:r>
            <w:r>
              <w:rPr>
                <w:rFonts w:ascii="Times New Roman" w:hAnsi="Times New Roman"/>
                <w:sz w:val="19"/>
              </w:rPr>
              <w:t>Должник: [Ф.И.О. полностью]</w:t>
            </w:r>
            <w:r>
              <w:br/>
            </w:r>
            <w:r>
              <w:rPr>
                <w:rFonts w:ascii="Times New Roman" w:hAnsi="Times New Roman"/>
                <w:sz w:val="19"/>
              </w:rPr>
              <w:t>ИНН: [________], СНИЛС: [________]</w:t>
            </w:r>
            <w:r>
              <w:br/>
            </w:r>
            <w:r>
              <w:rPr>
                <w:rFonts w:ascii="Times New Roman" w:hAnsi="Times New Roman"/>
                <w:sz w:val="19"/>
              </w:rPr>
              <w:t>адрес: [________]</w:t>
            </w:r>
            <w:r>
              <w:br/>
            </w:r>
            <w:r>
              <w:rPr>
                <w:rFonts w:ascii="Times New Roman" w:hAnsi="Times New Roman"/>
                <w:sz w:val="19"/>
              </w:rPr>
            </w:r>
            <w:r>
              <w:br/>
            </w:r>
            <w:r>
              <w:rPr>
                <w:rFonts w:ascii="Times New Roman" w:hAnsi="Times New Roman"/>
                <w:sz w:val="19"/>
              </w:rPr>
              <w:t>Финансовый управляющий: [Ф.И.О.]</w:t>
            </w:r>
            <w:r>
              <w:br/>
            </w:r>
            <w:r>
              <w:rPr>
                <w:rFonts w:ascii="Times New Roman" w:hAnsi="Times New Roman"/>
                <w:sz w:val="19"/>
              </w:rPr>
              <w:t>адрес для корреспонденции: [________]</w:t>
            </w:r>
            <w:r>
              <w:br/>
            </w:r>
            <w:r>
              <w:rPr>
                <w:rFonts w:ascii="Times New Roman" w:hAnsi="Times New Roman"/>
                <w:sz w:val="19"/>
              </w:rPr>
              <w:t>СРО: [наименование, адрес]</w:t>
            </w:r>
            <w:r>
              <w:br/>
            </w:r>
            <w:r>
              <w:rPr>
                <w:rFonts w:ascii="Times New Roman" w:hAnsi="Times New Roman"/>
                <w:sz w:val="19"/>
              </w:rPr>
            </w:r>
            <w:r>
              <w:br/>
            </w:r>
            <w:r>
              <w:rPr>
                <w:rFonts w:ascii="Times New Roman" w:hAnsi="Times New Roman"/>
                <w:sz w:val="19"/>
              </w:rPr>
              <w:t>Заявитель: [должник / конкурсный кредитор] [Ф.И.О. / наименование]</w:t>
            </w:r>
            <w:r>
              <w:br/>
            </w:r>
            <w:r>
              <w:rPr>
                <w:rFonts w:ascii="Times New Roman" w:hAnsi="Times New Roman"/>
                <w:sz w:val="19"/>
              </w:rPr>
              <w:t>адрес: [________]</w:t>
            </w:r>
            <w:r>
              <w:br/>
            </w:r>
            <w:r>
              <w:rPr>
                <w:rFonts w:ascii="Times New Roman" w:hAnsi="Times New Roman"/>
                <w:sz w:val="19"/>
              </w:rPr>
              <w:t>электронная почта: [________]</w:t>
            </w:r>
            <w:r>
              <w:br/>
            </w:r>
            <w:r>
              <w:rPr>
                <w:rFonts w:ascii="Times New Roman" w:hAnsi="Times New Roman"/>
                <w:sz w:val="19"/>
              </w:rPr>
              <w:t>телефон: [________]</w:t>
            </w:r>
            <w:r>
              <w:br/>
            </w:r>
            <w:r>
              <w:rPr>
                <w:rFonts w:ascii="Times New Roman" w:hAnsi="Times New Roman"/>
                <w:sz w:val="19"/>
              </w:rPr>
            </w:r>
            <w:r>
              <w:br/>
            </w:r>
            <w:r>
              <w:rPr>
                <w:rFonts w:ascii="Times New Roman" w:hAnsi="Times New Roman"/>
                <w:sz w:val="19"/>
              </w:rPr>
              <w:t>Заинтересованные лица: [при наличии]</w:t>
            </w:r>
          </w:p>
        </w:tc>
      </w:tr>
    </w:tbl>
    <w:p/>
    <w:p>
      <w:pPr>
        <w:pStyle w:val="DocTitle"/>
      </w:pPr>
      <w:r>
        <w:t>ВОЗРАЖЕНИЯ ПРОТИВ ВОЗМЕЩЕНИЯ НЕОБОСНОВАННЫХ РАСХОДОВ ФИНАНСОВОГО УПРАВЛЯЮЩЕГО</w:t>
      </w:r>
    </w:p>
    <w:p>
      <w:r>
        <w:t>Финансовый управляющий просит возместить расходы в размере [сумма] руб. по перечню, приложенному к отчету / заявлению от [дата]. Заявитель не оспаривает право на возмещение действительно необходимых и документально подтвержденных затрат, однако возражает против спорных позиций на общую сумму [сумма] руб.</w:t>
      </w:r>
    </w:p>
    <w:p>
      <w:r>
        <w:t>К спорным расходам относятся: [услуги юриста, оценщика, организатора торгов, хранителя, транспортные расходы, почтовые расходы, связь, копирование, банковские комиссии, публикации, иное]. По отдельным позициям отсутствуют оригиналы платежных документов и акты; услуги дублируют обязанности управляющего; цена существенно превышает рыночную; результат не передан в материалы дела; расход совершен после отпадения необходимости.</w:t>
      </w:r>
    </w:p>
    <w:p>
      <w:r>
        <w:t>Статьи 20.6, 20.7 и 59 Закона о банкротстве допускают возмещение расходов, фактически понесенных при исполнении обязанностей и связанных с процедурой. Постановление Пленума ВАС РФ № 91 требует проверять необходимость, разумность, соразмерность и наличие средств. Бремя доказывания фактического несения и связи расхода с делом лежит на управляющем.</w:t>
      </w:r>
    </w:p>
    <w:p>
      <w:r>
        <w:t>Пункт 4 статьи 20.3 Закона о банкротстве возлагает на арбитражного управляющего обязанность действовать добросовестно и разумно в интересах должника, кредиторов и общества. При банкротстве гражданина эта обязанность конкретизируется статьей 213.9 Закона о банкротстве: финансовый управляющий обязан выявлять имущество, анализировать финансовое состояние, вести работу с требованиями кредиторов, контролировать денежные операции, принимать меры к сохранности конкурсной массы и отчитываться о результатах процедуры. Самостоятельность управляющего не означает закрытость его деятельности: принимаемые решения должны быть проверяемыми, документально подтвержденными и направленными на достижение целей процедуры.</w:t>
      </w:r>
    </w:p>
    <w:p>
      <w:r>
        <w:t>Привлечение специалиста допустимо, когда работа объективно требует специальных знаний или значительного объема. Нельзя перекладывать на конкурсную массу обычную переписку, подготовку стандартных ходатайств, ведение реестра, формирование отчета и иные основные обязанности управляющего без объяснения исключительных обстоятельств.</w:t>
      </w:r>
    </w:p>
    <w:p>
      <w:r>
        <w:t>Рыночность цены должна подтверждаться сравнением предложений, тарифами, сложностью и фактическим объемом. Договор и платеж сами по себе не доказывают разумность. При взаимозависимости исполнителя и управляющего необходим повышенный стандарт раскрытия выбора исполнителя и цены.</w:t>
      </w:r>
    </w:p>
    <w:p>
      <w:r>
        <w:t>Транспортные, гостиничные и суточные расходы возмещаются лишь при доказанной необходимости личного выезда и невозможности дистанционного совершения действия. Расходы на связь, канцелярию и технику должны быть индивидуализированы применительно к конкретному делу, а не распределены произвольно между процедурами.</w:t>
      </w:r>
    </w:p>
    <w:p>
      <w:r>
        <w:t>Необоснованное возмещение расходов уменьшает конкурсную массу и противоречит интересам кредиторов. До разрешения возражений спорные суммы не должны выплачиваться управляющему или привлеченным лицам.</w:t>
      </w:r>
    </w:p>
    <w:p>
      <w:pPr>
        <w:ind w:firstLine="709"/>
      </w:pPr>
      <w:r>
        <w:t>На основании изложенного, руководствуясь Федеральным законом от 26.10.2002 № 127-ФЗ «О несостоятельности (банкротстве)», Арбитражным процессуальным кодексом Российской Федерации и иными применимыми нормами,</w:t>
      </w:r>
    </w:p>
    <w:p>
      <w:pPr>
        <w:spacing w:before="140" w:after="120"/>
        <w:jc w:val="center"/>
      </w:pPr>
      <w:r>
        <w:rPr>
          <w:b/>
        </w:rPr>
        <w:t>ПРОШУ:</w:t>
      </w:r>
    </w:p>
    <w:p>
      <w:pPr>
        <w:pStyle w:val="RequestLine"/>
      </w:pPr>
      <w:r>
        <w:t>1. отказать в возмещении расходов на сумму [сумма] руб. согласно прилагаемому контррасчету;</w:t>
      </w:r>
    </w:p>
    <w:p>
      <w:pPr>
        <w:pStyle w:val="RequestLine"/>
      </w:pPr>
      <w:r>
        <w:t>2. исключить расходы, не подтвержденные первичными документами, актами и доказательствами оплаты;</w:t>
      </w:r>
    </w:p>
    <w:p>
      <w:pPr>
        <w:pStyle w:val="RequestLine"/>
      </w:pPr>
      <w:r>
        <w:t>3. исключить расходы, дублирующие основные обязанности финансового управляющего либо не связанные с процедурой;</w:t>
      </w:r>
    </w:p>
    <w:p>
      <w:pPr>
        <w:pStyle w:val="RequestLine"/>
      </w:pPr>
      <w:r>
        <w:t>4. снизить до разумного рыночного уровня расходы по позициям [перечень];</w:t>
      </w:r>
    </w:p>
    <w:p>
      <w:pPr>
        <w:pStyle w:val="RequestLine"/>
      </w:pPr>
      <w:r>
        <w:t>5. обязать управляющего представить договоры, акты, платежные документы, результаты услуг и обоснование выбора исполнителей;</w:t>
      </w:r>
    </w:p>
    <w:p>
      <w:pPr>
        <w:pStyle w:val="RequestLine"/>
      </w:pPr>
      <w:r>
        <w:t>6. запретить выплату спорных сумм из конкурсной массы до вступления судебного акта в законную силу.</w:t>
      </w:r>
    </w:p>
    <w:p>
      <w:pPr>
        <w:ind w:firstLine="0"/>
      </w:pPr>
      <w:r>
        <w:rPr>
          <w:b/>
        </w:rPr>
        <w:t>Приложения:</w:t>
      </w:r>
    </w:p>
    <w:p>
      <w:pPr>
        <w:pStyle w:val="RequestLine"/>
      </w:pPr>
      <w:r>
        <w:t>1. копия возражений;</w:t>
      </w:r>
    </w:p>
    <w:p>
      <w:pPr>
        <w:pStyle w:val="RequestLine"/>
      </w:pPr>
      <w:r>
        <w:t>2. перечень заявленных расходов;</w:t>
      </w:r>
    </w:p>
    <w:p>
      <w:pPr>
        <w:pStyle w:val="RequestLine"/>
      </w:pPr>
      <w:r>
        <w:t>3. контррасчет с классификацией спорных позиций;</w:t>
      </w:r>
    </w:p>
    <w:p>
      <w:pPr>
        <w:pStyle w:val="RequestLine"/>
      </w:pPr>
      <w:r>
        <w:t>4. коммерческие предложения и сведения о рыночных ценах;</w:t>
      </w:r>
    </w:p>
    <w:p>
      <w:pPr>
        <w:pStyle w:val="RequestLine"/>
      </w:pPr>
      <w:r>
        <w:t>5. доказательства отсутствия результата услуг;</w:t>
      </w:r>
    </w:p>
    <w:p>
      <w:pPr>
        <w:pStyle w:val="RequestLine"/>
      </w:pPr>
      <w:r>
        <w:t>6. документы о взаимозависимости при наличии;</w:t>
      </w:r>
    </w:p>
    <w:p>
      <w:pPr>
        <w:pStyle w:val="RequestLine"/>
      </w:pPr>
      <w:r>
        <w:t>7. доказательства направления возражений.</w:t>
      </w:r>
    </w:p>
    <w:p>
      <w:pPr>
        <w:spacing w:before="240"/>
        <w:ind w:firstLine="0"/>
      </w:pPr>
      <w:r>
        <w:t>[дата]                                      [подпись]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737" w:right="1020" w:bottom="692" w:left="1389" w:header="369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666666"/>
        <w:sz w:val="16"/>
      </w:rPr>
      <w:t xml:space="preserve">Образец требует адаптации к обстоятельствам дела  •  стр.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/>
        <w:b/>
        <w:color w:val="17365D"/>
        <w:sz w:val="16"/>
      </w:rPr>
      <w:t>ZOTOWA.RU  |  БИБЛИОТЕКА ПРОЦЕССУАЛЬНЫХ ДОКУМЕНТОВ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widowControl/>
      <w:spacing w:line="240" w:lineRule="auto" w:after="10"/>
      <w:ind w:firstLine="709"/>
      <w:jc w:val="both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ocTitle">
    <w:name w:val="DocTitle"/>
    <w:pPr>
      <w:keepNext/>
      <w:spacing w:before="60" w:after="120"/>
      <w:jc w:val="center"/>
    </w:pPr>
    <w:rPr>
      <w:rFonts w:ascii="Arial" w:hAnsi="Arial" w:eastAsia="Arial"/>
      <w:b/>
      <w:color w:val="17365D"/>
      <w:sz w:val="28"/>
    </w:rPr>
  </w:style>
  <w:style w:type="paragraph" w:customStyle="1" w:styleId="RequestLine">
    <w:name w:val="RequestLine"/>
    <w:pPr>
      <w:spacing w:after="10" w:line="240" w:lineRule="auto"/>
      <w:ind w:left="454" w:hanging="312"/>
      <w:jc w:val="both"/>
    </w:pPr>
    <w:rPr>
      <w:rFonts w:ascii="Times New Roman" w:hAnsi="Times New Roman" w:eastAsia="Times New Roman"/>
      <w:sz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