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"/>
        <w:gridCol w:w="8901"/>
      </w:tblGrid>
      <w:tr>
        <w:tc>
          <w:tcPr>
            <w:tcW w:type="dxa" w:w="181"/>
            <w:shd w:fill="2F6B57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8901"/>
            <w:tcMar>
              <w:top w:w="120" w:type="dxa"/>
              <w:start w:w="180" w:type="dxa"/>
              <w:bottom w:w="120" w:type="dxa"/>
              <w:end w:w="18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/>
                <w:b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/>
                <w:sz w:val="20"/>
              </w:rPr>
            </w:r>
            <w:r>
              <w:br/>
            </w:r>
            <w:r>
              <w:rPr>
                <w:rFonts w:ascii="Times New Roman" w:hAnsi="Times New Roman"/>
                <w:b/>
                <w:sz w:val="20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/>
                <w:sz w:val="20"/>
              </w:rPr>
            </w:r>
            <w:r>
              <w:br/>
            </w:r>
            <w:r>
              <w:rPr>
                <w:rFonts w:ascii="Times New Roman" w:hAnsi="Times New Roman"/>
                <w:sz w:val="20"/>
              </w:rPr>
              <w:t>Должник: [Ф.И.О. полностью]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ИНН: [________], СНИЛС: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</w:r>
            <w:r>
              <w:br/>
            </w:r>
            <w:r>
              <w:rPr>
                <w:rFonts w:ascii="Times New Roman" w:hAnsi="Times New Roman"/>
                <w:sz w:val="20"/>
              </w:rPr>
              <w:t>Финансовый управляющий: [Ф.И.О.]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адрес для корреспонденции: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СРО: [наименование, адрес]</w:t>
            </w:r>
            <w:r>
              <w:br/>
            </w:r>
            <w:r>
              <w:rPr>
                <w:rFonts w:ascii="Times New Roman" w:hAnsi="Times New Roman"/>
                <w:sz w:val="20"/>
              </w:rPr>
            </w:r>
            <w:r>
              <w:br/>
            </w:r>
            <w:r>
              <w:rPr>
                <w:rFonts w:ascii="Times New Roman" w:hAnsi="Times New Roman"/>
                <w:sz w:val="20"/>
              </w:rPr>
              <w:t>Заявитель: [должник / конкурсный кредитор] [Ф.И.О. / наименование]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телефон: [________]</w:t>
            </w:r>
            <w:r>
              <w:br/>
            </w:r>
            <w:r>
              <w:rPr>
                <w:rFonts w:ascii="Times New Roman" w:hAnsi="Times New Roman"/>
                <w:sz w:val="20"/>
              </w:rPr>
            </w:r>
            <w:r>
              <w:br/>
            </w:r>
            <w:r>
              <w:rPr>
                <w:rFonts w:ascii="Times New Roman" w:hAnsi="Times New Roman"/>
                <w:sz w:val="20"/>
              </w:rPr>
              <w:t>Заинтересованные лица: [при наличии]</w:t>
            </w:r>
          </w:p>
        </w:tc>
      </w:tr>
    </w:tbl>
    <w:p/>
    <w:p>
      <w:pPr>
        <w:pStyle w:val="DocTitle"/>
      </w:pPr>
      <w:r>
        <w:t>ВОЗРАЖЕНИЯ ПРОТИВ ВЫПЛАТЫ ДОПОЛНИТЕЛЬНОГО ВОЗНАГРАЖДЕНИЯ ФИНАНСОВОМУ УПРАВЛЯЮЩЕМУ</w:t>
      </w:r>
    </w:p>
    <w:p>
      <w:r>
        <w:t>Финансовый управляющий [Ф.И.О.] обратился с заявлением об установлении и выплате дополнительного вознаграждения в размере [сумма] руб. Основанием указаны [реализация имущества, погашение требований кредиторов, сложность процедуры, решение собрания кредиторов, особый результат]. Заявитель считает требование необоснованным полностью либо в части.</w:t>
      </w:r>
    </w:p>
    <w:p>
      <w:r>
        <w:t>Вознаграждение арбитражного управляющего имеет встречный характер и выплачивается за надлежащее исполнение обязанностей. Закон предусматривает фиксированную и процентную части, а в установленных случаях - дополнительное вознаграждение. Сам факт длительности процедуры, большой стоимости имущества или наличия поступлений не подтверждает особого вклада управляющего.</w:t>
      </w:r>
    </w:p>
    <w:p>
      <w:r>
        <w:t>Постановление Пленума ВАС РФ от 25.12.2013 № 97 требует учитывать качество и результат деятельности управляющего. Не подлежат стимулированию результаты, полученные без причинной связи с его действиями, вследствие добровольного платежа третьего лица, исполнения судебного акта, принятого до его утверждения, либо простого поступления доходов должника. Верховный Суд также указывает, что погашение требований способами, не связанными с эффективными мероприятиями управляющего, не образует основание для стимулирующей выплаты.</w:t>
      </w:r>
    </w:p>
    <w:p>
      <w:r>
        <w:t>Пункт 4 статьи 20.3 Закона о банкротстве возлагает на арбитражного управляющего обязанность действовать добросовестно и разумно в интересах должника, кредиторов и общества. При банкротстве гражданина эта обязанность конкретизируется статьей 213.9 Закона о банкротстве: финансовый управляющий обязан выявлять имущество, анализировать финансовое состояние, вести работу с требованиями кредиторов, контролировать денежные операции, принимать меры к сохранности конкурсной массы и отчитываться о результатах процедуры. Самостоятельность управляющего не означает закрытость его деятельности: принимаемые решения должны быть проверяемыми, документально подтвержденными и направленными на достижение целей процедуры.</w:t>
      </w:r>
    </w:p>
    <w:p>
      <w:r>
        <w:t>В рассматриваемом деле заявленный результат достигнут преимущественно вследствие [действий должника / кредитора / судебного пристава / покупателя / иного лица]. Управляющий не доказал, какие конкретно действия совершены им сверх обычного объема обязанностей, какие риски преодолены и какая сумма поступила именно благодаря этим действиям.</w:t>
      </w:r>
    </w:p>
    <w:p>
      <w:r>
        <w:t>Одновременно в деятельности управляющего имеются нарушения: [неполнота отчета, необоснованные расходы, затягивание торгов, непринятие мер к взысканию, признанные судом незаконные действия]. Эти обстоятельства подлежат учету при оценке встречности вознаграждения и исключают автоматическую выплату стимулирующей суммы.</w:t>
      </w:r>
    </w:p>
    <w:p>
      <w:r>
        <w:t>Расчет также содержит ошибки: в базу включены [средства, исключенные из конкурсной массы; доходы должника; суммы, возвращенные третьим лицом; залоговая выручка без учета специальных правил; неподтвержденные поступления; расходы]. Каждая сумма должна быть подтверждена банковскими документами и связана с фактическим погашением требований.</w:t>
      </w:r>
    </w:p>
    <w:p>
      <w:r>
        <w:t>Если суд придет к выводу о наличии права на вознаграждение, размер должен быть определен только после проверки всех расчетов, завершения оспариваемых мероприятий и исключения сумм, не связанных с эффективной деятельностью управляющего.</w:t>
      </w:r>
    </w:p>
    <w:p>
      <w:pPr>
        <w:ind w:firstLine="709"/>
      </w:pPr>
      <w:r>
        <w:t>На основании изложенного, руководствуясь Федеральным законом от 26.10.2002 № 127-ФЗ «О несостоятельности (банкротстве)», Арбитражным процессуальным кодексом Российской Федерации и иными применимыми нормами,</w:t>
      </w:r>
    </w:p>
    <w:p>
      <w:pPr>
        <w:spacing w:before="140" w:after="120"/>
        <w:jc w:val="center"/>
      </w:pPr>
      <w:r>
        <w:rPr>
          <w:b/>
        </w:rPr>
        <w:t>ПРОШУ:</w:t>
      </w:r>
    </w:p>
    <w:p>
      <w:pPr>
        <w:pStyle w:val="RequestLine"/>
      </w:pPr>
      <w:r>
        <w:t>1. отказать финансовому управляющему в установлении и выплате дополнительного вознаграждения;</w:t>
      </w:r>
    </w:p>
    <w:p>
      <w:pPr>
        <w:pStyle w:val="RequestLine"/>
      </w:pPr>
      <w:r>
        <w:t>2. в качестве альтернативы исключить из расчетной базы суммы [перечень] и уменьшить размер вознаграждения до документально подтвержденной величины;</w:t>
      </w:r>
    </w:p>
    <w:p>
      <w:pPr>
        <w:pStyle w:val="RequestLine"/>
      </w:pPr>
      <w:r>
        <w:t>3. обязать управляющего представить детальный расчет по каждому поступлению и доказательства причинной связи с его действиями;</w:t>
      </w:r>
    </w:p>
    <w:p>
      <w:pPr>
        <w:pStyle w:val="RequestLine"/>
      </w:pPr>
      <w:r>
        <w:t>4. учесть ненадлежащее исполнение обязанностей и судебные акты о признании действий (бездействия) незаконными;</w:t>
      </w:r>
    </w:p>
    <w:p>
      <w:pPr>
        <w:pStyle w:val="RequestLine"/>
      </w:pPr>
      <w:r>
        <w:t>5. отложить рассмотрение заявления до разрешения споров о расходах, движении денежных средств и результатах реализации имущества;</w:t>
      </w:r>
    </w:p>
    <w:p>
      <w:pPr>
        <w:pStyle w:val="RequestLine"/>
      </w:pPr>
      <w:r>
        <w:t>6. не допускать выплаты спорной суммы из конкурсной массы до вступления определения в законную силу.</w:t>
      </w:r>
    </w:p>
    <w:p>
      <w:pPr>
        <w:ind w:firstLine="0"/>
      </w:pPr>
      <w:r>
        <w:rPr>
          <w:b/>
        </w:rPr>
        <w:t>Приложения:</w:t>
      </w:r>
    </w:p>
    <w:p>
      <w:pPr>
        <w:pStyle w:val="RequestLine"/>
      </w:pPr>
      <w:r>
        <w:t>1. копия возражений;</w:t>
      </w:r>
    </w:p>
    <w:p>
      <w:pPr>
        <w:pStyle w:val="RequestLine"/>
      </w:pPr>
      <w:r>
        <w:t>2. заявление и расчет финансового управляющего;</w:t>
      </w:r>
    </w:p>
    <w:p>
      <w:pPr>
        <w:pStyle w:val="RequestLine"/>
      </w:pPr>
      <w:r>
        <w:t>3. контррасчет;</w:t>
      </w:r>
    </w:p>
    <w:p>
      <w:pPr>
        <w:pStyle w:val="RequestLine"/>
      </w:pPr>
      <w:r>
        <w:t>4. банковские выписки и документы об источнике поступлений;</w:t>
      </w:r>
    </w:p>
    <w:p>
      <w:pPr>
        <w:pStyle w:val="RequestLine"/>
      </w:pPr>
      <w:r>
        <w:t>5. судебные акты и документы о нарушениях управляющего;</w:t>
      </w:r>
    </w:p>
    <w:p>
      <w:pPr>
        <w:pStyle w:val="RequestLine"/>
      </w:pPr>
      <w:r>
        <w:t>6. доказательства направления возражений.</w:t>
      </w:r>
    </w:p>
    <w:p>
      <w:pPr>
        <w:spacing w:before="24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39" w:right="1020" w:bottom="805" w:left="1389" w:header="369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66666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/>
        <w:b/>
        <w:color w:val="17365D"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250" w:lineRule="auto" w:after="40"/>
      <w:ind w:firstLine="709"/>
      <w:jc w:val="both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before="60" w:after="160"/>
      <w:jc w:val="center"/>
    </w:pPr>
    <w:rPr>
      <w:rFonts w:ascii="Arial" w:hAnsi="Arial" w:eastAsia="Arial"/>
      <w:b/>
      <w:color w:val="17365D"/>
      <w:sz w:val="29"/>
    </w:rPr>
  </w:style>
  <w:style w:type="paragraph" w:customStyle="1" w:styleId="RequestLine">
    <w:name w:val="RequestLine"/>
    <w:pPr>
      <w:spacing w:after="40" w:line="245" w:lineRule="auto"/>
      <w:ind w:left="454" w:hanging="312"/>
      <w:jc w:val="both"/>
    </w:pPr>
    <w:rPr>
      <w:rFonts w:ascii="Times New Roman" w:hAnsi="Times New Roman" w:eastAsia="Times New Roman"/>
      <w:sz w:val="23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