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b/>
                <w:sz w:val="20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СРО: [наименование, адрес]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Заявитель: [должник / конкурсный кредитор / уполномоченный орган] [Ф.И.О. / наименование]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телефон: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Заинтересованные лица: [при наличии]</w:t>
            </w:r>
          </w:p>
        </w:tc>
      </w:tr>
    </w:tbl>
    <w:p/>
    <w:p>
      <w:pPr>
        <w:pStyle w:val="DocTitle"/>
      </w:pPr>
      <w:r>
        <w:t>ХОДАТАЙСТВО ОБ ОТСТРАНЕНИИ ФИНАНСОВОГО УПРАВЛЯЮЩЕГО</w:t>
      </w:r>
    </w:p>
    <w:p>
      <w:r>
        <w:t>Финансовый управляющий [Ф.И.О.] утвержден определением суда от [дата]. За период исполнения обязанностей им допущена совокупность существенных и повторяющихся нарушений, которые исключают дальнейшее эффективное и беспристрастное проведение процедуры.</w:t>
      </w:r>
    </w:p>
    <w:p>
      <w:r>
        <w:t>Первое нарушение: [описание, дата, последствия]. Второе нарушение: [описание]. Третье нарушение: [описание]. Нарушения подтверждаются судебными актами, перепиской, отчетами, банковскими документами и материалами проверок. Часть нарушений ранее признана незаконной определением суда от [дата], однако управляющий их не устранил либо допустил аналогичное поведение повторно.</w:t>
      </w:r>
    </w:p>
    <w:p>
      <w:r>
        <w:t>Дополнительно имеются обстоятельства, свидетельствующие о конфликте интересов или утрате доверия к объективности управляющего: [связь с кредитором, выбор зависимого оценщика, получение платежей от заинтересованного лица, сокрытие информации, неодинаковое отношение к участникам]. Указанные факты требуют оценки не как субъективное недовольство заявителя, а как риск для независимости процедуры.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Пункт 1 статьи 20.4 Закона о банкротстве предусматривает отстранение арбитражного управляющего в связи с неисполнением или ненадлежащим исполнением обязанностей при наличии предусмотренных законом оснований. Мера должна быть соразмерна характеру нарушения. Судебная практика допускает отстранение, когда нарушения существенны, осознаны управляющим, создают реальную угрозу интересам должника и кредиторов либо показывают невозможность дальнейшего добросовестного исполнения полномочий.</w:t>
      </w:r>
    </w:p>
    <w:p>
      <w:r>
        <w:t>В рассматриваемом случае менее строгие меры не обеспечили результата: запросы, жалобы и судебные указания проигнорированы; процедура затянута на [срок]; конкурсная масса уменьшена на [сумма] руб.; пропущены сроки [указать]; документы не раскрываются. Сохранение полномочий управляющего создает риск новых убытков и дальнейшей утраты активов.</w:t>
      </w:r>
    </w:p>
    <w:p>
      <w:r>
        <w:t>Отстранение не преследует карательной цели. Оно необходимо для восстановления управляемости процедуры. Вопрос о дисциплинарной, административной и имущественной ответственности может быть разрешен отдельно.</w:t>
      </w:r>
    </w:p>
    <w:p>
      <w:r>
        <w:t>Для исключения перерыва в процедуре целесообразно одновременно запросить у саморегулируемой организации кандидатуру нового финансового управляющего и обязать отстраненное лицо передать документы, имущество, ключи доступа, электронные базы и денежные средства по акту.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отстранить [Ф.И.О.] от исполнения обязанностей финансового управляющего гражданина [Ф.И.О.];</w:t>
      </w:r>
    </w:p>
    <w:p>
      <w:pPr>
        <w:pStyle w:val="RequestLine"/>
      </w:pPr>
      <w:r>
        <w:t>2. запросить у [наименование СРО] кандидатуру нового финансового управляющего в установленный законом срок;</w:t>
      </w:r>
    </w:p>
    <w:p>
      <w:pPr>
        <w:pStyle w:val="RequestLine"/>
      </w:pPr>
      <w:r>
        <w:t>3. обязать отстраненного управляющего в течение трех рабочих дней передать новому управляющему документы, имущество, электронные ключи, сведения о счетах и денежные средства по акту;</w:t>
      </w:r>
    </w:p>
    <w:p>
      <w:pPr>
        <w:pStyle w:val="RequestLine"/>
      </w:pPr>
      <w:r>
        <w:t>4. обязать представить в суд итоговый отчет о движении денежных средств и состоянии процедуры на дату передачи;</w:t>
      </w:r>
    </w:p>
    <w:p>
      <w:pPr>
        <w:pStyle w:val="RequestLine"/>
      </w:pPr>
      <w:r>
        <w:t>5. направить копию определения в СРО и Управление Росреестра для рассмотрения вопроса о соответствующих мерах ответственности;</w:t>
      </w:r>
    </w:p>
    <w:p>
      <w:pPr>
        <w:pStyle w:val="RequestLine"/>
      </w:pPr>
      <w:r>
        <w:t>6. сохранить обеспечительные меры и запретить совершение неподтвержденных расходов до передачи процедуры новому управляющему.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ходатайства;</w:t>
      </w:r>
    </w:p>
    <w:p>
      <w:pPr>
        <w:pStyle w:val="RequestLine"/>
      </w:pPr>
      <w:r>
        <w:t>2. судебные акты о признании действий незаконными;</w:t>
      </w:r>
    </w:p>
    <w:p>
      <w:pPr>
        <w:pStyle w:val="RequestLine"/>
      </w:pPr>
      <w:r>
        <w:t>3. запросы, ответы и переписка;</w:t>
      </w:r>
    </w:p>
    <w:p>
      <w:pPr>
        <w:pStyle w:val="RequestLine"/>
      </w:pPr>
      <w:r>
        <w:t>4. отчеты управляющего и таблица нарушений;</w:t>
      </w:r>
    </w:p>
    <w:p>
      <w:pPr>
        <w:pStyle w:val="RequestLine"/>
      </w:pPr>
      <w:r>
        <w:t>5. банковские и иные документы о последствиях нарушений;</w:t>
      </w:r>
    </w:p>
    <w:p>
      <w:pPr>
        <w:pStyle w:val="RequestLine"/>
      </w:pPr>
      <w:r>
        <w:t>6. обращения в СРО / Росреестр и ответы;</w:t>
      </w:r>
    </w:p>
    <w:p>
      <w:pPr>
        <w:pStyle w:val="RequestLine"/>
      </w:pPr>
      <w:r>
        <w:t>7. доказательства направления ходатайства участвующим лицам.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9" w:right="1020" w:bottom="805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50" w:lineRule="auto" w:after="40"/>
      <w:ind w:firstLine="709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16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40" w:line="245" w:lineRule="auto"/>
      <w:ind w:left="454" w:hanging="312"/>
      <w:jc w:val="both"/>
    </w:pPr>
    <w:rPr>
      <w:rFonts w:ascii="Times New Roman" w:hAnsi="Times New Roman" w:eastAsia="Times New Roman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