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"/>
        <w:gridCol w:w="8901"/>
      </w:tblGrid>
      <w:tr>
        <w:tc>
          <w:tcPr>
            <w:tcW w:type="dxa" w:w="181"/>
            <w:shd w:fill="2F6B57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8901"/>
            <w:tcMar>
              <w:top w:w="120" w:type="dxa"/>
              <w:start w:w="180" w:type="dxa"/>
              <w:bottom w:w="120" w:type="dxa"/>
              <w:end w:w="180" w:type="dxa"/>
            </w:tcMar>
            <w:vAlign w:val="top"/>
          </w:tcPr>
          <w:p>
            <w:pPr>
              <w:jc w:val="left"/>
            </w:pPr>
            <w:r>
              <w:rPr>
                <w:rFonts w:ascii="Times New Roman" w:hAnsi="Times New Roman"/>
                <w:b/>
                <w:sz w:val="21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b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sz w:val="21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sz w:val="21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СРО: [наименование, адрес]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sz w:val="21"/>
              </w:rPr>
              <w:t>Заявитель: [должник / конкурсный кредитор] [Ф.И.О. / наименование]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  <w:t>телефон: [________]</w:t>
            </w:r>
            <w:r>
              <w:br/>
            </w:r>
            <w:r>
              <w:rPr>
                <w:rFonts w:ascii="Times New Roman" w:hAnsi="Times New Roman"/>
                <w:sz w:val="21"/>
              </w:rPr>
            </w:r>
            <w:r>
              <w:br/>
            </w:r>
            <w:r>
              <w:rPr>
                <w:rFonts w:ascii="Times New Roman" w:hAnsi="Times New Roman"/>
                <w:sz w:val="21"/>
              </w:rPr>
              <w:t>Заинтересованные лица: [при наличии]</w:t>
            </w:r>
          </w:p>
        </w:tc>
      </w:tr>
    </w:tbl>
    <w:p/>
    <w:p>
      <w:pPr>
        <w:pStyle w:val="DocTitle"/>
      </w:pPr>
      <w:r>
        <w:t>ЗАЯВЛЕНИЕ ОБ ОБЯЗАНИИ ФИНАНСОВОГО УПРАВЛЯЮЩЕГО СОВЕРШИТЬ ОПРЕДЕЛЕННЫЕ ДЕЙСТВИЯ</w:t>
      </w:r>
    </w:p>
    <w:p>
      <w:r>
        <w:t>В ходе процедуры финансовый управляющий [Ф.И.О.] не совершил действия, необходимые для достижения целей банкротства: [не запросил сведения, не включил имущество в опись, не предъявил требование дебитору, не оспорил сделку, не организовал торги, не перечислил должнику обязательные средства, не предоставил документы].</w:t>
      </w:r>
    </w:p>
    <w:p>
      <w:r>
        <w:t>Обстоятельства, требующие совершения действия, подтверждаются [документы]. Управляющему они известны с [дата], поскольку заявитель направил уведомление и передал документы. Несмотря на это, в отчете от [дата] соответствующее мероприятие отсутствует либо обозначено без конкретного срока.</w:t>
      </w:r>
    </w:p>
    <w:p>
      <w:r>
        <w:t>Пункт 4 статьи 20.3 Закона о банкротстве возлагает на арбитражного управляющего обязанность действовать добросовестно и разумно в интересах должника, кредиторов и общества. При банкротстве гражданина эта обязанность конкретизируется статьей 213.9 Закона о банкротстве: финансовый управляющий обязан выявлять имущество, анализировать финансовое состояние, вести работу с требованиями кредиторов, контролировать денежные операции, принимать меры к сохранности конкурсной массы и отчитываться о результатах процедуры. Самостоятельность управляющего не означает закрытость его деятельности: принимаемые решения должны быть проверяемыми, документально подтвержденными и направленными на достижение целей процедуры.</w:t>
      </w:r>
    </w:p>
    <w:p>
      <w:r>
        <w:t>Статьи 20.3 и 213.9 Закона о банкротстве закрепляют не абстрактное полномочие, а обязанность финансового управляющего активно формировать конкурсную массу, анализировать финансовое состояние, выявлять имущество, заявлять возражения и совершать иные необходимые действия. Статья 60 позволяет суду разрешить разногласия и обязать управляющего устранить незаконное бездействие.</w:t>
      </w:r>
    </w:p>
    <w:p>
      <w:r>
        <w:t>Предлагаемое действие является юридически возможным, соразмерным и экономически обоснованным. Предварительные расходы составят ориентировочно [сумма] руб., ожидаемый результат - [сумма / возврат имущества / прекращение необоснованного расхода]. Необходимые документы могут быть получены из [источник], а срок исковой давности истекает [дата].</w:t>
      </w:r>
    </w:p>
    <w:p>
      <w:r>
        <w:t>Если управляющий считает мероприятие нецелесообразным, он обязан раскрыть расчеты, правовые риски и альтернативы. Формальная ссылка на отсутствие перспектив без исследования документов не соответствует стандарту разумности.</w:t>
      </w:r>
    </w:p>
    <w:p>
      <w:r>
        <w:t>Судебное понуждение не подменяет деятельность управляющего, а определяет обязательный результат и срок устранения нарушения. Конкретный способ исполнения в пределах закона может быть выбран управляющим самостоятельно, если он обеспечивает достижение указанной цели.</w:t>
      </w:r>
    </w:p>
    <w:p>
      <w:pPr>
        <w:ind w:firstLine="709"/>
      </w:pPr>
      <w:r>
        <w:t>На основании изложенного, руководствуясь Федеральным законом от 26.10.2002 № 127-ФЗ «О несостоятельности (банкротстве)», Арбитражным процессуальным кодексом Российской Федерации и иными применимыми нормами,</w:t>
      </w:r>
    </w:p>
    <w:p>
      <w:pPr>
        <w:spacing w:before="140" w:after="120"/>
        <w:jc w:val="center"/>
      </w:pPr>
      <w:r>
        <w:rPr>
          <w:b/>
        </w:rPr>
        <w:t>ПРОШУ:</w:t>
      </w:r>
    </w:p>
    <w:p>
      <w:pPr>
        <w:pStyle w:val="RequestLine"/>
      </w:pPr>
      <w:r>
        <w:t>1. обязать финансового управляющего [Ф.И.О.] совершить действие: [точно сформулировать];</w:t>
      </w:r>
    </w:p>
    <w:p>
      <w:pPr>
        <w:pStyle w:val="RequestLine"/>
      </w:pPr>
      <w:r>
        <w:t>2. установить срок исполнения - не позднее [дата / количество рабочих дней] со дня вступления определения в законную силу;</w:t>
      </w:r>
    </w:p>
    <w:p>
      <w:pPr>
        <w:pStyle w:val="RequestLine"/>
      </w:pPr>
      <w:r>
        <w:t>3. обязать представить заявителю и суду подтверждающие документы в течение трех рабочих дней после исполнения;</w:t>
      </w:r>
    </w:p>
    <w:p>
      <w:pPr>
        <w:pStyle w:val="RequestLine"/>
      </w:pPr>
      <w:r>
        <w:t>4. при необходимости обязать управляющего обратиться в суд с заявлением [об оспаривании сделки / взыскании задолженности / разрешении разногласий];</w:t>
      </w:r>
    </w:p>
    <w:p>
      <w:pPr>
        <w:pStyle w:val="RequestLine"/>
      </w:pPr>
      <w:r>
        <w:t>5. предупредить финансового управляющего о возможности отстранения и взыскания убытков в случае неисполнения судебного акта;</w:t>
      </w:r>
    </w:p>
    <w:p>
      <w:pPr>
        <w:pStyle w:val="RequestLine"/>
      </w:pPr>
      <w:r>
        <w:t>6. взыскать судебные расходы с лица, действия которого вызвали необходимость обращения, при наличии оснований.</w:t>
      </w:r>
    </w:p>
    <w:p>
      <w:pPr>
        <w:ind w:firstLine="0"/>
      </w:pPr>
      <w:r>
        <w:rPr>
          <w:b/>
        </w:rPr>
        <w:t>Приложения:</w:t>
      </w:r>
    </w:p>
    <w:p>
      <w:pPr>
        <w:pStyle w:val="RequestLine"/>
      </w:pPr>
      <w:r>
        <w:t>1. копия заявления;</w:t>
      </w:r>
    </w:p>
    <w:p>
      <w:pPr>
        <w:pStyle w:val="RequestLine"/>
      </w:pPr>
      <w:r>
        <w:t>2. документы, подтверждающие необходимость действия;</w:t>
      </w:r>
    </w:p>
    <w:p>
      <w:pPr>
        <w:pStyle w:val="RequestLine"/>
      </w:pPr>
      <w:r>
        <w:t>3. экономический расчет предполагаемого результата;</w:t>
      </w:r>
    </w:p>
    <w:p>
      <w:pPr>
        <w:pStyle w:val="RequestLine"/>
      </w:pPr>
      <w:r>
        <w:t>4. копии обращений к управляющему и ответы;</w:t>
      </w:r>
    </w:p>
    <w:p>
      <w:pPr>
        <w:pStyle w:val="RequestLine"/>
      </w:pPr>
      <w:r>
        <w:t>5. доказательства направления заявления участвующим лицам.</w:t>
      </w:r>
    </w:p>
    <w:p>
      <w:pPr>
        <w:spacing w:before="24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5" w:right="1020" w:bottom="907" w:left="1389" w:header="369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66666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/>
        <w:b/>
        <w:color w:val="17365D"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269" w:lineRule="auto" w:after="10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keepNext/>
      <w:spacing w:before="60" w:after="240"/>
      <w:jc w:val="center"/>
    </w:pPr>
    <w:rPr>
      <w:rFonts w:ascii="Arial" w:hAnsi="Arial" w:eastAsia="Arial"/>
      <w:b/>
      <w:color w:val="17365D"/>
      <w:sz w:val="29"/>
    </w:rPr>
  </w:style>
  <w:style w:type="paragraph" w:customStyle="1" w:styleId="RequestLine">
    <w:name w:val="RequestLine"/>
    <w:pPr>
      <w:spacing w:after="100" w:line="259" w:lineRule="auto"/>
      <w:ind w:left="454" w:hanging="312"/>
      <w:jc w:val="both"/>
    </w:pPr>
    <w:rPr>
      <w:rFonts w:ascii="Times New Roman" w:hAnsi="Times New Roman" w:eastAsia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