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181"/>
        <w:gridCol w:w="8901"/>
      </w:tblGrid>
      <w:tr>
        <w:tc>
          <w:tcPr>
            <w:tcW w:type="dxa" w:w="181"/>
            <w:shd w:fill="2F6B57"/>
            <w:tcMar>
              <w:top w:w="0" w:type="dxa"/>
              <w:start w:w="0" w:type="dxa"/>
              <w:bottom w:w="0" w:type="dxa"/>
              <w:end w:w="0" w:type="dxa"/>
            </w:tcMar>
          </w:tcPr>
          <w:p/>
        </w:tc>
        <w:tc>
          <w:tcPr>
            <w:tcW w:type="dxa" w:w="8901"/>
            <w:tcMar>
              <w:top w:w="120" w:type="dxa"/>
              <w:start w:w="180" w:type="dxa"/>
              <w:bottom w:w="120" w:type="dxa"/>
              <w:end w:w="180" w:type="dxa"/>
            </w:tcMar>
            <w:vAlign w:val="top"/>
          </w:tcPr>
          <w:p>
            <w:pPr>
              <w:jc w:val="left"/>
            </w:pPr>
            <w:r>
              <w:rPr>
                <w:rFonts w:ascii="Times New Roman" w:hAnsi="Times New Roman"/>
                <w:b/>
                <w:sz w:val="20"/>
              </w:rPr>
              <w:t>Арбитражный суд города Москвы</w:t>
            </w:r>
            <w:r>
              <w:br/>
            </w:r>
            <w:r>
              <w:rPr>
                <w:rFonts w:ascii="Times New Roman" w:hAnsi="Times New Roman"/>
                <w:sz w:val="20"/>
              </w:rPr>
              <w:t>115225, г. Москва, ул. Большая Тульская, д. 17</w:t>
            </w:r>
            <w:r>
              <w:br/>
            </w:r>
            <w:r>
              <w:rPr>
                <w:rFonts w:ascii="Times New Roman" w:hAnsi="Times New Roman"/>
                <w:sz w:val="20"/>
              </w:rPr>
            </w:r>
            <w:r>
              <w:br/>
            </w:r>
            <w:r>
              <w:rPr>
                <w:rFonts w:ascii="Times New Roman" w:hAnsi="Times New Roman"/>
                <w:b/>
                <w:sz w:val="20"/>
              </w:rPr>
              <w:t>Дело № [А40-________/20__]</w:t>
            </w:r>
            <w:r>
              <w:br/>
            </w:r>
            <w:r>
              <w:rPr>
                <w:rFonts w:ascii="Times New Roman" w:hAnsi="Times New Roman"/>
                <w:sz w:val="20"/>
              </w:rPr>
            </w:r>
            <w:r>
              <w:br/>
            </w:r>
            <w:r>
              <w:rPr>
                <w:rFonts w:ascii="Times New Roman" w:hAnsi="Times New Roman"/>
                <w:sz w:val="20"/>
              </w:rPr>
              <w:t>Должник: [Ф.И.О. полностью]</w:t>
            </w:r>
            <w:r>
              <w:br/>
            </w:r>
            <w:r>
              <w:rPr>
                <w:rFonts w:ascii="Times New Roman" w:hAnsi="Times New Roman"/>
                <w:sz w:val="20"/>
              </w:rPr>
              <w:t>ИНН: [________], СНИЛС: [________]</w:t>
            </w:r>
            <w:r>
              <w:br/>
            </w:r>
            <w:r>
              <w:rPr>
                <w:rFonts w:ascii="Times New Roman" w:hAnsi="Times New Roman"/>
                <w:sz w:val="20"/>
              </w:rPr>
              <w:t>адрес: [________]</w:t>
            </w:r>
            <w:r>
              <w:br/>
            </w:r>
            <w:r>
              <w:rPr>
                <w:rFonts w:ascii="Times New Roman" w:hAnsi="Times New Roman"/>
                <w:sz w:val="20"/>
              </w:rPr>
            </w:r>
            <w:r>
              <w:br/>
            </w:r>
            <w:r>
              <w:rPr>
                <w:rFonts w:ascii="Times New Roman" w:hAnsi="Times New Roman"/>
                <w:sz w:val="20"/>
              </w:rPr>
              <w:t>Финансовый управляющий: [Ф.И.О.]</w:t>
            </w:r>
            <w:r>
              <w:br/>
            </w:r>
            <w:r>
              <w:rPr>
                <w:rFonts w:ascii="Times New Roman" w:hAnsi="Times New Roman"/>
                <w:sz w:val="20"/>
              </w:rPr>
              <w:t>адрес для корреспонденции: [________]</w:t>
            </w:r>
            <w:r>
              <w:br/>
            </w:r>
            <w:r>
              <w:rPr>
                <w:rFonts w:ascii="Times New Roman" w:hAnsi="Times New Roman"/>
                <w:sz w:val="20"/>
              </w:rPr>
              <w:t>СРО: [наименование, адрес]</w:t>
            </w:r>
            <w:r>
              <w:br/>
            </w:r>
            <w:r>
              <w:rPr>
                <w:rFonts w:ascii="Times New Roman" w:hAnsi="Times New Roman"/>
                <w:sz w:val="20"/>
              </w:rPr>
            </w:r>
            <w:r>
              <w:br/>
            </w:r>
            <w:r>
              <w:rPr>
                <w:rFonts w:ascii="Times New Roman" w:hAnsi="Times New Roman"/>
                <w:sz w:val="20"/>
              </w:rPr>
              <w:t>Заявитель: [должник / конкурсный кредитор] [Ф.И.О. / наименование]</w:t>
            </w:r>
            <w:r>
              <w:br/>
            </w:r>
            <w:r>
              <w:rPr>
                <w:rFonts w:ascii="Times New Roman" w:hAnsi="Times New Roman"/>
                <w:sz w:val="20"/>
              </w:rPr>
              <w:t>адрес: [________]</w:t>
            </w:r>
            <w:r>
              <w:br/>
            </w:r>
            <w:r>
              <w:rPr>
                <w:rFonts w:ascii="Times New Roman" w:hAnsi="Times New Roman"/>
                <w:sz w:val="20"/>
              </w:rPr>
              <w:t>электронная почта: [________]</w:t>
            </w:r>
            <w:r>
              <w:br/>
            </w:r>
            <w:r>
              <w:rPr>
                <w:rFonts w:ascii="Times New Roman" w:hAnsi="Times New Roman"/>
                <w:sz w:val="20"/>
              </w:rPr>
              <w:t>телефон: [________]</w:t>
            </w:r>
            <w:r>
              <w:br/>
            </w:r>
            <w:r>
              <w:rPr>
                <w:rFonts w:ascii="Times New Roman" w:hAnsi="Times New Roman"/>
                <w:sz w:val="20"/>
              </w:rPr>
            </w:r>
            <w:r>
              <w:br/>
            </w:r>
            <w:r>
              <w:rPr>
                <w:rFonts w:ascii="Times New Roman" w:hAnsi="Times New Roman"/>
                <w:sz w:val="20"/>
              </w:rPr>
              <w:t>Заинтересованные лица: [при наличии]</w:t>
            </w:r>
          </w:p>
        </w:tc>
      </w:tr>
    </w:tbl>
    <w:p/>
    <w:p>
      <w:pPr>
        <w:pStyle w:val="DocTitle"/>
      </w:pPr>
      <w:r>
        <w:t>ЖАЛОБА НА ДЕЙСТВИЯ (БЕЗДЕЙСТВИЕ) ФИНАНСОВОГО УПРАВЛЯЮЩЕГО ПО СТАТЬЕ 60 ЗАКОНА О БАНКРОТСТВЕ</w:t>
      </w:r>
    </w:p>
    <w:p>
      <w:r>
        <w:t>Настоящая жалоба подана в связи с неисполнением финансовым управляющим [Ф.И.О.] обязанностей по делу о банкротстве гражданина [Ф.И.О.]. Нарушение выражается в следующем: [непредоставление отчета и документов / непринятие мер по выявлению имущества / неподача заявления об оспаривании сделки / нарушение очередности текущих платежей / удержание денежных средств должника / иное].</w:t>
      </w:r>
    </w:p>
    <w:p>
      <w:r>
        <w:t>Заявитель обращался к финансовому управляющему [даты, содержание запросов]. Управляющий [не ответил / отказал без правового обоснования / сообщил формальные сведения / обещал совершить действие, но не выполнил]. Нарушение продолжается с [дата] и непосредственно затрагивает права заявителя, поскольку [уменьшается конкурсная масса, невозможно участвовать в собрании, должник лишен средств на обязательные расходы, пропускается срок исковой давности, возникают дополнительные расходы].</w:t>
      </w:r>
    </w:p>
    <w:p>
      <w:r>
        <w:t>Пункт 4 статьи 20.3 Закона о банкротстве возлагает на арбитражного управляющего обязанность действовать добросовестно и разумно в интересах должника, кредиторов и общества. При банкротстве гражданина эта обязанность конкретизируется статьей 213.9 Закона о банкротстве: финансовый управляющий обязан выявлять имущество, анализировать финансовое состояние, вести работу с требованиями кредиторов, контролировать денежные операции, принимать меры к сохранности конкурсной массы и отчитываться о результатах процедуры. Самостоятельность управляющего не означает закрытость его деятельности: принимаемые решения должны быть проверяемыми, документально подтвержденными и направленными на достижение целей процедуры.</w:t>
      </w:r>
    </w:p>
    <w:p>
      <w:r>
        <w:t>Пункт 1 статьи 60 Закона о банкротстве предоставляет лицам, участвующим в деле, право обжаловать действия и бездействие управляющего, нарушающие их права и законные интересы. Судебная практика исходит из того, что основанием для удовлетворения жалобы являются недобросовестные или неразумные действия либо бездействие, несоответствие поведения конкретной обязанности и наличие нарушения прав заявителя.</w:t>
      </w:r>
    </w:p>
    <w:p>
      <w:r>
        <w:t>Обязанность управляющего подтверждается [статья закона, судебный акт, решение собрания кредиторов, обстоятельства дела]. Возможность совершить действие имелась: необходимые сведения и документы находились у управляющего либо могли быть получены обычными запросами; срок не был объективно ограничен; финансирование мероприятия имелось либо вопрос мог быть вынесен на разрешение суда.</w:t>
      </w:r>
    </w:p>
    <w:p>
      <w:r>
        <w:t>Бездействие нельзя оправдать ссылкой на усмотрение управляющего, поскольку усмотрение допустимо лишь при выборе разумного способа достижения цели процедуры, но не при отказе от самой обязанности. Если управляющий отказывается от оспаривания сделки или взыскания дебиторской задолженности, решение должно быть основано на проверенных фактах, правовом анализе и сопоставлении расходов с ожидаемым результатом.</w:t>
      </w:r>
    </w:p>
    <w:p>
      <w:r>
        <w:t>Для восстановления нарушенных прав недостаточно констатировать незаконность поведения; необходимо обязать управляющего устранить нарушение в конкретный срок и представить отчет о выполнении. При повторности и существенности нарушений заявитель оставляет за собой право требовать отстранения управляющего и взыскания убытков.</w:t>
      </w:r>
    </w:p>
    <w:p>
      <w:pPr>
        <w:ind w:firstLine="709"/>
      </w:pPr>
      <w:r>
        <w:t>На основании изложенного, руководствуясь Федеральным законом от 26.10.2002 № 127-ФЗ «О несостоятельности (банкротстве)», Арбитражным процессуальным кодексом Российской Федерации и иными применимыми нормами,</w:t>
      </w:r>
    </w:p>
    <w:p>
      <w:pPr>
        <w:spacing w:before="140" w:after="120"/>
        <w:jc w:val="center"/>
      </w:pPr>
      <w:r>
        <w:rPr>
          <w:b/>
        </w:rPr>
        <w:t>ПРОШУ:</w:t>
      </w:r>
    </w:p>
    <w:p>
      <w:pPr>
        <w:pStyle w:val="RequestLine"/>
      </w:pPr>
      <w:r>
        <w:t>1. признать незаконными действия (бездействие) финансового управляющего [Ф.И.О.], выразившиеся в [точное описание];</w:t>
      </w:r>
    </w:p>
    <w:p>
      <w:pPr>
        <w:pStyle w:val="RequestLine"/>
      </w:pPr>
      <w:r>
        <w:t>2. обязать финансового управляющего в срок не позднее [количество] рабочих дней совершить следующие действия: [перечень];</w:t>
      </w:r>
    </w:p>
    <w:p>
      <w:pPr>
        <w:pStyle w:val="RequestLine"/>
      </w:pPr>
      <w:r>
        <w:t>3. обязать представить в суд и заявителю документы, подтверждающие устранение нарушения;</w:t>
      </w:r>
    </w:p>
    <w:p>
      <w:pPr>
        <w:pStyle w:val="RequestLine"/>
      </w:pPr>
      <w:r>
        <w:t>4. установить дату контрольного судебного заседания либо обязать управляющего отразить исполнение в ближайшем отчете;</w:t>
      </w:r>
    </w:p>
    <w:p>
      <w:pPr>
        <w:pStyle w:val="RequestLine"/>
      </w:pPr>
      <w:r>
        <w:t>5. направить копию определения в саморегулируемую организацию финансового управляющего для решения вопроса о дисциплинарной ответственности;</w:t>
      </w:r>
    </w:p>
    <w:p>
      <w:pPr>
        <w:pStyle w:val="RequestLine"/>
      </w:pPr>
      <w:r>
        <w:t>6. разъяснить заявителю право обратиться с требованием о взыскании убытков при подтверждении их размера и причинной связи.</w:t>
      </w:r>
    </w:p>
    <w:p>
      <w:pPr>
        <w:ind w:firstLine="0"/>
      </w:pPr>
      <w:r>
        <w:rPr>
          <w:b/>
        </w:rPr>
        <w:t>Приложения:</w:t>
      </w:r>
    </w:p>
    <w:p>
      <w:pPr>
        <w:pStyle w:val="RequestLine"/>
      </w:pPr>
      <w:r>
        <w:t>1. копия жалобы;</w:t>
      </w:r>
    </w:p>
    <w:p>
      <w:pPr>
        <w:pStyle w:val="RequestLine"/>
      </w:pPr>
      <w:r>
        <w:t>2. копии запросов и требований финансовому управляющему;</w:t>
      </w:r>
    </w:p>
    <w:p>
      <w:pPr>
        <w:pStyle w:val="RequestLine"/>
      </w:pPr>
      <w:r>
        <w:t>3. доказательства их направления и получения;</w:t>
      </w:r>
    </w:p>
    <w:p>
      <w:pPr>
        <w:pStyle w:val="RequestLine"/>
      </w:pPr>
      <w:r>
        <w:t>4. ответы управляющего;</w:t>
      </w:r>
    </w:p>
    <w:p>
      <w:pPr>
        <w:pStyle w:val="RequestLine"/>
      </w:pPr>
      <w:r>
        <w:t>5. документы, подтверждающие нарушение права и возможные негативные последствия;</w:t>
      </w:r>
    </w:p>
    <w:p>
      <w:pPr>
        <w:pStyle w:val="RequestLine"/>
      </w:pPr>
      <w:r>
        <w:t>6. доказательства направления жалобы участвующим лицам.</w:t>
      </w:r>
    </w:p>
    <w:p>
      <w:pPr>
        <w:spacing w:before="240"/>
        <w:ind w:firstLine="0"/>
      </w:pPr>
      <w:r>
        <w:t>[дата]                                      [подпись] / [Ф.И.О.]</w:t>
      </w:r>
    </w:p>
    <w:sectPr w:rsidR="00FC693F" w:rsidRPr="0006063C" w:rsidSect="00034616">
      <w:headerReference w:type="default" r:id="rId9"/>
      <w:footerReference w:type="default" r:id="rId10"/>
      <w:pgSz w:w="12240" w:h="15840"/>
      <w:pgMar w:top="839" w:right="1020" w:bottom="805" w:left="1389" w:header="369"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66666"/>
        <w:sz w:val="16"/>
      </w:rPr>
      <w:t xml:space="preserve">Образец требует адаптации к обстоятельствам дела  •  стр.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17365D"/>
        <w:sz w:val="16"/>
      </w:rPr>
      <w:t>ZOTOWA.RU  |  БИБЛИОТЕКА ПРОЦЕССУАЛЬНЫХ ДОКУМЕНТОВ</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line="250" w:lineRule="auto" w:after="40"/>
      <w:ind w:firstLine="709"/>
      <w:jc w:val="both"/>
    </w:pPr>
    <w:rPr>
      <w:rFonts w:ascii="Times New Roman" w:hAnsi="Times New Roman" w:eastAsia="Times New Roman"/>
      <w:sz w:val="23"/>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Title">
    <w:name w:val="DocTitle"/>
    <w:pPr>
      <w:keepNext/>
      <w:spacing w:before="60" w:after="160"/>
      <w:jc w:val="center"/>
    </w:pPr>
    <w:rPr>
      <w:rFonts w:ascii="Arial" w:hAnsi="Arial" w:eastAsia="Arial"/>
      <w:b/>
      <w:color w:val="17365D"/>
      <w:sz w:val="29"/>
    </w:rPr>
  </w:style>
  <w:style w:type="paragraph" w:customStyle="1" w:styleId="RequestLine">
    <w:name w:val="RequestLine"/>
    <w:pPr>
      <w:spacing w:after="40" w:line="245" w:lineRule="auto"/>
      <w:ind w:left="454" w:hanging="312"/>
      <w:jc w:val="both"/>
    </w:pPr>
    <w:rPr>
      <w:rFonts w:ascii="Times New Roman" w:hAnsi="Times New Roman" w:eastAsia="Times New Roman"/>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