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b/>
                <w:sz w:val="20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sz w:val="20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sz w:val="20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СРО: [наименование, адрес]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sz w:val="20"/>
              </w:rPr>
              <w:t>Заявитель: [должник / конкурсный кредитор] [Ф.И.О. / наименование]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телефон: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sz w:val="20"/>
              </w:rPr>
              <w:t>Заинтересованные лица: [при наличии]</w:t>
            </w:r>
          </w:p>
        </w:tc>
      </w:tr>
    </w:tbl>
    <w:p/>
    <w:p>
      <w:pPr>
        <w:pStyle w:val="DocTitle"/>
      </w:pPr>
      <w:r>
        <w:t>ВОЗРАЖЕНИЯ НА ОТЧЕТ ФИНАНСОВОГО УПРАВЛЯЮЩЕГО</w:t>
      </w:r>
    </w:p>
    <w:p>
      <w:r>
        <w:t>Финансовый управляющий представил отчет от [дата] и просит [завершить / продлить] процедуру реализации имущества гражданина [Ф.И.О.]. Заявитель возражает против принятия отчета в качестве полного и достоверного, поскольку он не подтверждает выполнение обязательных мероприятий и содержит внутренние противоречия.</w:t>
      </w:r>
    </w:p>
    <w:p>
      <w:r>
        <w:t>В отчете не раскрыты результаты запросов в регистрирующие органы и банки, отсутствует сопоставление полученных сведений с декларациями и движением денежных средств должника. Не представлены актуальная опись конкурсной массы, документы о стоимости имущества, сведения о правах требования и доказательства принятия мер по взысканию дебиторской задолженности.</w:t>
      </w:r>
    </w:p>
    <w:p>
      <w:r>
        <w:t>Раздел об анализе сделок ограничен общей фразой об отсутствии оснований для оспаривания. Между тем из материалов дела следует, что в период [период] должником совершены сделки [описание], обладающие признаками неравноценности, предпочтения или совершения с заинтересованным лицом. Управляющий не представил анализ рыночной стоимости, платежные документы, сведения об аффилированности и мотивированное решение по каждой сделке.</w:t>
      </w:r>
    </w:p>
    <w:p>
      <w:r>
        <w:t>Сведения о движении денежных средств не позволяют проверить остаток конкурсной массы. Отсутствуют полные выписки, расшифровка поступлений и расходов, документы по оплате услуг привлеченных лиц. В таблице расходов указаны суммы [перечень], однако договоры, акты, чеки и экономическое обоснование не приложены.</w:t>
      </w:r>
    </w:p>
    <w:p>
      <w:r>
        <w:t>Пункт 4 статьи 20.3 Закона о банкротстве возлагает на арбитражного управляющего обязанность действовать добросовестно и разумно в интересах должника, кредиторов и общества. При банкротстве гражданина эта обязанность конкретизируется статьей 213.9 Закона о банкротстве: финансовый управляющий обязан выявлять имущество, анализировать финансовое состояние, вести работу с требованиями кредиторов, контролировать денежные операции, принимать меры к сохранности конкурсной массы и отчитываться о результатах процедуры. Самостоятельность управляющего не означает закрытость его деятельности: принимаемые решения должны быть проверяемыми, документально подтвержденными и направленными на достижение целей процедуры.</w:t>
      </w:r>
    </w:p>
    <w:p>
      <w:r>
        <w:t>Согласно статьям 20.3, 20.7, 60, 213.9 и 213.25 Закона о банкротстве управляющий обязан обеспечить формирование и сохранность конкурсной массы, раскрыть сведения о своей деятельности и подтвердить расходы. Итоговый отчет не является формальностью: на его основании суд решает, достигнуты ли цели процедуры и возможно ли ее завершение.</w:t>
      </w:r>
    </w:p>
    <w:p>
      <w:r>
        <w:t>Преждевременное завершение процедуры при непроведенных мероприятиях приведет к утрате возможности пополнить конкурсную массу и нарушит права кредиторов. Одновременно затягивание процедуры без конкретного плана также недопустимо. Поэтому отчет должен быть дополнен перечнем мероприятий, сроками и доказательствами результата.</w:t>
      </w:r>
    </w:p>
    <w:p>
      <w:r>
        <w:t>Заявитель направил управляющему запрос от [дата], однако ответ [не получен / не содержит необходимых сведений]. При таких обстоятельствах отчет не может быть утвержден без устранения недостатков.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ПРОШУ:</w:t>
      </w:r>
    </w:p>
    <w:p>
      <w:pPr>
        <w:pStyle w:val="RequestLine"/>
      </w:pPr>
      <w:r>
        <w:t>1. не принимать отчет финансового управляющего от [дата] в качестве достаточного основания для завершения процедуры;</w:t>
      </w:r>
    </w:p>
    <w:p>
      <w:pPr>
        <w:pStyle w:val="RequestLine"/>
      </w:pPr>
      <w:r>
        <w:t>2. обязать финансового управляющего представить дополненный отчет и подтверждающие документы;</w:t>
      </w:r>
    </w:p>
    <w:p>
      <w:pPr>
        <w:pStyle w:val="RequestLine"/>
      </w:pPr>
      <w:r>
        <w:t>3. обязать представить полные сведения о конкурсной массе, движении денежных средств, расходах, сделках и дебиторской задолженности;</w:t>
      </w:r>
    </w:p>
    <w:p>
      <w:pPr>
        <w:pStyle w:val="RequestLine"/>
      </w:pPr>
      <w:r>
        <w:t>4. обязать дать мотивированную оценку сделкам [перечень] и принять решение об их оспаривании либо представить правовое заключение об отказе;</w:t>
      </w:r>
    </w:p>
    <w:p>
      <w:pPr>
        <w:pStyle w:val="RequestLine"/>
      </w:pPr>
      <w:r>
        <w:t>5. исключить из отчета неподтвержденные расходы либо отложить вопрос об их возмещении;</w:t>
      </w:r>
    </w:p>
    <w:p>
      <w:pPr>
        <w:pStyle w:val="RequestLine"/>
      </w:pPr>
      <w:r>
        <w:t>6. при необходимости продлить процедуру на срок, достаточный для выполнения конкретно перечисленных мероприятий, установив дату контрольного отчета.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копия возражений;</w:t>
      </w:r>
    </w:p>
    <w:p>
      <w:pPr>
        <w:pStyle w:val="RequestLine"/>
      </w:pPr>
      <w:r>
        <w:t>2. копия отчета финансового управляющего;</w:t>
      </w:r>
    </w:p>
    <w:p>
      <w:pPr>
        <w:pStyle w:val="RequestLine"/>
      </w:pPr>
      <w:r>
        <w:t>3. таблица выявленных недостатков отчета;</w:t>
      </w:r>
    </w:p>
    <w:p>
      <w:pPr>
        <w:pStyle w:val="RequestLine"/>
      </w:pPr>
      <w:r>
        <w:t>4. выписки и документы, опровергающие сведения отчета;</w:t>
      </w:r>
    </w:p>
    <w:p>
      <w:pPr>
        <w:pStyle w:val="RequestLine"/>
      </w:pPr>
      <w:r>
        <w:t>5. копия запроса управляющему и доказательства направления;</w:t>
      </w:r>
    </w:p>
    <w:p>
      <w:pPr>
        <w:pStyle w:val="RequestLine"/>
      </w:pPr>
      <w:r>
        <w:t>6. доказательства направления возражений лицам, участвующим в споре.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39" w:right="1020" w:bottom="805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50" w:lineRule="auto" w:after="40"/>
      <w:ind w:firstLine="709"/>
      <w:jc w:val="both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160"/>
      <w:jc w:val="center"/>
    </w:pPr>
    <w:rPr>
      <w:rFonts w:ascii="Arial" w:hAnsi="Arial" w:eastAsia="Arial"/>
      <w:b/>
      <w:color w:val="17365D"/>
      <w:sz w:val="29"/>
    </w:rPr>
  </w:style>
  <w:style w:type="paragraph" w:customStyle="1" w:styleId="RequestLine">
    <w:name w:val="RequestLine"/>
    <w:pPr>
      <w:spacing w:after="40" w:line="245" w:lineRule="auto"/>
      <w:ind w:left="454" w:hanging="312"/>
      <w:jc w:val="both"/>
    </w:pPr>
    <w:rPr>
      <w:rFonts w:ascii="Times New Roman" w:hAnsi="Times New Roman" w:eastAsia="Times New Roman"/>
      <w:sz w:val="2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