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Финансовому управляющему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по делу о банкротстве гражданина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От: [должника / конкурсного кредитора]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</w:p>
        </w:tc>
      </w:tr>
    </w:tbl>
    <w:p/>
    <w:p>
      <w:pPr>
        <w:pStyle w:val="DocTitle"/>
      </w:pPr>
      <w:r>
        <w:t>ЗАЯВЛЕНИЕ О ПРЕДОСТАВЛЕНИИ СВЕДЕНИЙ О ПРОИЗВЕДЕННЫХ РАСХОДАХ</w:t>
      </w:r>
    </w:p>
    <w:p>
      <w:r>
        <w:t>Из отчета финансового управляющего от [дата] следует, что за счет имущества должника произведены расходы в общей сумме [сумма] руб. В отчете указаны укрупненные категории расходов, однако отсутствуют сведения о получателях, датах платежей, содержании услуг, результатах работ и документах, подтверждающих необходимость и фактическое несение затрат.</w:t>
      </w:r>
    </w:p>
    <w:p>
      <w:r>
        <w:t>Расходы по делу о банкротстве уменьшают конкурсную массу и, следовательно, размер удовлетворения требований кредиторов, а в ряде случаев затрагивают денежные средства, необходимые должнику и членам его семьи для минимально необходимого существования. Поэтому каждый расход должен иметь правовое основание, непосредственную связь с процедурой, разумный размер и надлежащее документальное подтверждение.</w:t>
      </w:r>
    </w:p>
    <w:p>
      <w:r>
        <w:t>Пункт 1 статьи 20.6 и статьи 20.7, 59 Закона о банкротстве предусматривают право управляющего на возмещение фактически понесенных расходов, необходимых для исполнения обязанностей. Постановление Пленума ВАС РФ от 17.12.2009 № 91 исходит из необходимости проверки обоснованности расходов и их связи с процедурой. Расходы не становятся подлежащими возмещению лишь потому, что управляющий фактически произвел платеж.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Необходимо раскрыть расходы на публикации и ЕФРСБ, почтовые отправления, банковские комиссии, оценку, организацию торгов, хранение имущества, транспорт, связь, копирование, нотариальные действия, юридические и иные услуги привлеченных лиц. По каждому расходу следует указать договор, счет, акт, чек или платежное поручение, объем и результат услуги, а также объяснить, почему работа не могла быть выполнена самим управляющим.</w:t>
      </w:r>
    </w:p>
    <w:p>
      <w:r>
        <w:t>Если часть затрат еще не оплачена, но заявлена к будущему возмещению, прошу выделить ее отдельно и указать источник обязательства. Если расходы возмещались управляющему наличными, необходимо представить авансовый отчет и документы, позволяющие идентифицировать операцию.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предоставить детализированный реестр расходов за период с [дата] по [дата];</w:t>
      </w:r>
    </w:p>
    <w:p>
      <w:pPr>
        <w:pStyle w:val="RequestLine"/>
      </w:pPr>
      <w:r>
        <w:t>2. по каждой позиции указать дату, сумму, получателя, назначение, правовое основание и результат расхода;</w:t>
      </w:r>
    </w:p>
    <w:p>
      <w:pPr>
        <w:pStyle w:val="RequestLine"/>
      </w:pPr>
      <w:r>
        <w:t>3. предоставить копии договоров, счетов, актов, чеков, платежных поручений, авансовых отчетов и иных подтверждающих документов;</w:t>
      </w:r>
    </w:p>
    <w:p>
      <w:pPr>
        <w:pStyle w:val="RequestLine"/>
      </w:pPr>
      <w:r>
        <w:t>4. отдельно раскрыть вознаграждение и расходы привлеченных лиц, обосновать необходимость их привлечения и рыночность цены;</w:t>
      </w:r>
    </w:p>
    <w:p>
      <w:pPr>
        <w:pStyle w:val="RequestLine"/>
      </w:pPr>
      <w:r>
        <w:t>5. сообщить сумму расходов, уже возмещенных из конкурсной массы, и сумму непогашенных обязательств;</w:t>
      </w:r>
    </w:p>
    <w:p>
      <w:pPr>
        <w:pStyle w:val="RequestLine"/>
      </w:pPr>
      <w:r>
        <w:t>6. исключить из будущего отчета расходы, не подтвержденные документами или не связанные с целями процедуры.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отчета финансового управляющего;</w:t>
      </w:r>
    </w:p>
    <w:p>
      <w:pPr>
        <w:pStyle w:val="RequestLine"/>
      </w:pPr>
      <w:r>
        <w:t>2. контртаблица расходов / перечень спорных позиций;</w:t>
      </w:r>
    </w:p>
    <w:p>
      <w:pPr>
        <w:pStyle w:val="RequestLine"/>
      </w:pPr>
      <w:r>
        <w:t>3. документ о статусе заявителя;</w:t>
      </w:r>
    </w:p>
    <w:p>
      <w:pPr>
        <w:pStyle w:val="RequestLine"/>
      </w:pPr>
      <w:r>
        <w:t>4. доказательства направления заявления.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