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1"/>
              </w:rPr>
              <w:t>Финансовому управляющему / реестродержателю [Ф.И.О. / наименование]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по делу о банкротстве гражданина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b/>
                <w:sz w:val="21"/>
              </w:rPr>
              <w:t>От: конкурсного кредитора [наименование / 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телефон: [________]</w:t>
            </w:r>
          </w:p>
        </w:tc>
      </w:tr>
    </w:tbl>
    <w:p/>
    <w:p>
      <w:pPr>
        <w:pStyle w:val="DocTitle"/>
      </w:pPr>
      <w:r>
        <w:t>ТРЕБОВАНИЕ О ПРЕДОСТАВЛЕНИИ РЕЕСТРА ТРЕБОВАНИЙ КРЕДИТОРОВ</w:t>
      </w:r>
    </w:p>
    <w:p>
      <w:r>
        <w:t>Определением Арбитражного суда города Москвы от [дата] требование заявителя включено в реестр требований кредиторов гражданина [Ф.И.О.] в размере [сумма] руб., в том числе [структура требования]. Для реализации прав участника собрания кредиторов заявителю необходимы актуальные сведения о составе и размере реестра.</w:t>
      </w:r>
    </w:p>
    <w:p>
      <w:r>
        <w:t>В соответствии с пунктом 9 статьи 16 Закона о банкротстве арбитражный управляющий или реестродержатель обязан по требованию кредитора либо его уполномоченного представителя в течение пяти рабочих дней предоставить выписку из реестра о размере, составе и очередности удовлетворения требований этого кредитора. Если размер требований заявителя достигает установленного законом порога, кредитор вправе получить копию реестра; расходы на изготовление и направление копии могут быть возложены на кредитора.</w:t>
      </w:r>
    </w:p>
    <w:p>
      <w:r>
        <w:t>Помимо выписки по собственному требованию заявителю необходима информация о совокупном размере требований, количестве кредиторов, распределении голосов, заявленных возражениях и изменениях реестра после [дата]. Эти сведения имеют значение для проверки кворума, подготовки к собранию кредиторов и оценки потенциального процента удовлетворения требований.</w:t>
      </w:r>
    </w:p>
    <w:p>
      <w:r>
        <w:t>При формировании ответа необходимо отразить отдельно основной долг, проценты, финансовые санкции, обеспеченные залогом требования, требования без права голоса и требования, заявленные после закрытия реестра. В отношении требований, исключенных, погашенных, уступленных либо измененных судебными актами, следует указать дату и основание изменения.</w:t>
      </w:r>
    </w:p>
    <w:p>
      <w:r>
        <w:t>Если управляющий полагает, что заявитель не вправе получить полную копию реестра, прошу предоставить предусмотренную законом выписку по требованию заявителя, общую справку о размере каждой очереди и мотивированный ответ относительно остальной части запроса. Персональные данные физических лиц могут быть обезличены в той мере, в какой это не препятствует проверке реестра.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ТРЕБУЮ:</w:t>
      </w:r>
    </w:p>
    <w:p>
      <w:pPr>
        <w:pStyle w:val="RequestLine"/>
      </w:pPr>
      <w:r>
        <w:t>1. в течение пяти рабочих дней предоставить заверенную выписку из реестра требований кредиторов в отношении требования заявителя;</w:t>
      </w:r>
    </w:p>
    <w:p>
      <w:pPr>
        <w:pStyle w:val="RequestLine"/>
      </w:pPr>
      <w:r>
        <w:t>2. при наличии предусмотренного законом права предоставить заверенную копию актуального реестра требований кредиторов на дату ответа;</w:t>
      </w:r>
    </w:p>
    <w:p>
      <w:pPr>
        <w:pStyle w:val="RequestLine"/>
      </w:pPr>
      <w:r>
        <w:t>3. сообщить общую сумму требований по каждой очереди, сумму требований с правом голоса и количество кредиторов;</w:t>
      </w:r>
    </w:p>
    <w:p>
      <w:pPr>
        <w:pStyle w:val="RequestLine"/>
      </w:pPr>
      <w:r>
        <w:t>4. указать все изменения реестра после [дата] с реквизитами судебных актов и документов о правопреемстве или погашении;</w:t>
      </w:r>
    </w:p>
    <w:p>
      <w:pPr>
        <w:pStyle w:val="RequestLine"/>
      </w:pPr>
      <w:r>
        <w:t>5. сообщить размер расходов на изготовление и направление копии, если их предварительная оплата необходима;</w:t>
      </w:r>
    </w:p>
    <w:p>
      <w:pPr>
        <w:pStyle w:val="RequestLine"/>
      </w:pPr>
      <w:r>
        <w:t>6. направить документы в электронном виде и заказным почтовым отправлением.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определения суда о включении требования заявителя;</w:t>
      </w:r>
    </w:p>
    <w:p>
      <w:pPr>
        <w:pStyle w:val="RequestLine"/>
      </w:pPr>
      <w:r>
        <w:t>2. доверенность представителя;</w:t>
      </w:r>
    </w:p>
    <w:p>
      <w:pPr>
        <w:pStyle w:val="RequestLine"/>
      </w:pPr>
      <w:r>
        <w:t>3. доказательства направления требования.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5" w:right="1020" w:bottom="907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69" w:lineRule="auto" w:after="10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24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100" w:line="259" w:lineRule="auto"/>
      <w:ind w:left="454" w:hanging="312"/>
      <w:jc w:val="both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