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Финансовому управляющему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[конкурсного кредитора / должника]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ТРЕБОВАНИЕ О ПРЕДОСТАВЛЕНИИ ВЫПИСОК ПО СПЕЦИАЛЬНОМУ БАНКОВСКОМУ СЧЕТУ</w:t>
      </w:r>
    </w:p>
    <w:p>
      <w:r>
        <w:t>В рамках дела № [номер] финансовым управляющим используется банковский счет № [при наличии], предназначенный для учета денежных средств, относящихся к процедуре банкротства, поступлений от реализации имущества и расчетов по текущим обязательствам и требованиям кредиторов. По отчету от [дата] остаток денежных средств составляет [сумма] руб., однако движение средств и основания отдельных списаний не раскрыты.</w:t>
      </w:r>
    </w:p>
    <w:p>
      <w:r>
        <w:t>Заявитель просит обеспечить проверяемость операций за период с [дата] по [дата]. Информация необходима для сопоставления поступлений от реализации имущества, доходов должника и возврата дебиторской задолженности с расходами на публикации, торги, оценку, хранение, банковские услуги, привлеченных лиц и расчеты с кредиторами.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Предоставление выписки не должно нарушать банковскую тайну и права третьих лиц. Поэтому заявитель просит передать копии документов либо организовать ознакомление с ними в объеме, позволяющем видеть дату операции, сумму, назначение платежа, плательщика или получателя и реквизиты подтверждающего документа. Номера карт, паспортные данные, адреса и иные избыточные персональные данные могут быть скрыты.</w:t>
      </w:r>
    </w:p>
    <w:p>
      <w:r>
        <w:t>В случае использования нескольких счетов, депозитов, специальных счетов либо наличной кассы необходимо раскрыть движение по каждому источнику отдельно и представить сводный отчет, исключающий двойной учет. Если денежные средства перечислялись на личный счет управляющего или третьего лица, следует сообщить правовое основание, период нахождения средств и порядок их возврата.</w:t>
      </w:r>
    </w:p>
    <w:p>
      <w:r>
        <w:t>Если управляющий считает, что полный документ может быть представлен только суду, прошу предоставить обезличенную выписку, свод операций и предложить дату ознакомления с оригиналами. Немотивированный отказ препятствует контролю за конкурсной массой и может быть обжалован по статье 60 Закона о банкротстве.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ТРЕБУЮ:</w:t>
      </w:r>
    </w:p>
    <w:p>
      <w:pPr>
        <w:pStyle w:val="RequestLine"/>
      </w:pPr>
      <w:r>
        <w:t>1. предоставить банковские выписки по счетам, используемым в процедуре, за период с [дата] по [дата];</w:t>
      </w:r>
    </w:p>
    <w:p>
      <w:pPr>
        <w:pStyle w:val="RequestLine"/>
      </w:pPr>
      <w:r>
        <w:t>2. предоставить платежные поручения, чеки, банковские ордера и иные документы по операциям на сумму свыше [сумма] руб.;</w:t>
      </w:r>
    </w:p>
    <w:p>
      <w:pPr>
        <w:pStyle w:val="RequestLine"/>
      </w:pPr>
      <w:r>
        <w:t>3. предоставить сводную таблицу поступлений и расходов с указанием назначения каждой операции;</w:t>
      </w:r>
    </w:p>
    <w:p>
      <w:pPr>
        <w:pStyle w:val="RequestLine"/>
      </w:pPr>
      <w:r>
        <w:t>4. обезличить сведения, не имеющие отношения к проверке движения конкурсной массы, без сокрытия дат, сумм и назначения платежей;</w:t>
      </w:r>
    </w:p>
    <w:p>
      <w:pPr>
        <w:pStyle w:val="RequestLine"/>
      </w:pPr>
      <w:r>
        <w:t>5. при отказе предоставить конкретное правовое обоснование и обеспечить ознакомление заявителя с документами иным допустимым способом.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документ, подтверждающий статус заявителя;</w:t>
      </w:r>
    </w:p>
    <w:p>
      <w:pPr>
        <w:pStyle w:val="RequestLine"/>
      </w:pPr>
      <w:r>
        <w:t>2. копия отчета финансового управляющего с указанием остатка денежных средств;</w:t>
      </w:r>
    </w:p>
    <w:p>
      <w:pPr>
        <w:pStyle w:val="RequestLine"/>
      </w:pPr>
      <w:r>
        <w:t>3. доверенность;</w:t>
      </w:r>
    </w:p>
    <w:p>
      <w:pPr>
        <w:pStyle w:val="RequestLine"/>
      </w:pPr>
      <w:r>
        <w:t>4. доказательства направления требования.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