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В Арбитражный суд города Москвы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115225, г. Москва, ул. Большая Тульская, д. 17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Дело № А40-__________/20___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Должник: Иванов Иван Иванович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дата рождения: 01.01.1985; место рождения: г. Москва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адрес: 123456, г. Москва, ул. Примерная, д. 1, кв. 1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ИНН: 000000000000; СНИЛС: 000-000-000 00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тел.: +7 900 000-00-00; e-mail: example@mail.ru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Финансовый управляющий: Петров Петр Петрович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адрес для корреспонденции: __________________________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e-mail: __________________________</w:t>
      </w:r>
    </w:p>
    <w:p>
      <w:pPr>
        <w:keepNext w:val="0"/>
        <w:spacing w:line="259" w:lineRule="auto" w:before="0" w:after="2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40" w:lineRule="auto" w:before="0" w:after="120"/>
        <w:jc w:val="center"/>
      </w:pPr>
      <w:r>
        <w:rPr>
          <w:rFonts w:ascii="Times New Roman" w:hAnsi="Times New Roman" w:eastAsia="Times New Roman"/>
          <w:b/>
          <w:i w:val="0"/>
          <w:sz w:val="24"/>
        </w:rPr>
        <w:t>ХОДАТАЙСТВО ОБ ИСКЛЮЧЕНИИ ЗЕМЕЛЬНОГО УЧАСТКА, НА КОТОРОМ РАСПОЛОЖЕНО ЕДИНСТВЕННОЕ ЖИЛЬЕ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Должнику принадлежат жилой дом площадью ____ кв. м, кадастровый номер __________________, и земельный участок площадью ____ кв. м, кадастровый номер __________________, расположенные по адресу: __________________________. Дом является единственным пригодным для постоянного проживания жильем должника и его семьи и не находится в ипотеке. Земельный участок также не обременен ипотекой.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Участок необходим для нормального использования жилого дома. На нем расположены входная группа, подъезд, инженерные сети, скважина / колодец, септик, хозяйственные постройки, элементы благоустройства и иные объекты, обеспечивающие проживание. Выделение или продажа участка отдельно от дома невозможны либо приведут к утрате доступа, нарушению санитарных и технических требований и фактической непригодности жилья.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Финансовый управляющий включил участок в конкурсную массу отдельно от жилого дома / предложил реализовать его как самостоятельный объект. Такой подход противоречит функциональному единству объектов и создает искусственную возможность обращения взыскания на имущество, обеспечивающее реализацию конституционного права на жилище.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Абзац третий части 1 статьи 446 ГПК РФ прямо исключает обращение взыскания на земельные участки, на которых расположено единственное пригодное для постоянного проживания жилье, кроме случаев ипотеки. Пункт 3 статьи 213.25 Закона о банкротстве предписывает финансовому управляющему исключить такое имущество из конкурсной массы.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пункте 19 Обзора судебной практики по делам о банкротстве граждан, утвержденного Президиумом Верховного Суда Российской Федерации 18.06.2025, отражен подход, согласно которому исполнительский иммунитет может охватывать несколько функционально связанных объектов недвижимости и земельных участков, если они совместно обеспечивают разумную потребность семьи в жилье и их раздельная реализация нарушит баланс интересов.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настоящем случае площадь участка составляет ____ кв. м, вид разрешенного использования — __________________, участок фактически используется исключительно для обслуживания дома и личных нужд семьи. Коммерческое использование, сдача в аренду, раздел на самостоятельные ликвидные участки и иное извлечение дохода отсутствуют.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keepNext/>
        <w:spacing w:line="259" w:lineRule="auto" w:before="0" w:after="80"/>
        <w:jc w:val="center"/>
      </w:pPr>
      <w:r>
        <w:rPr>
          <w:rFonts w:ascii="Times New Roman" w:hAnsi="Times New Roman" w:eastAsia="Times New Roman"/>
          <w:b/>
          <w:i w:val="0"/>
          <w:sz w:val="24"/>
        </w:rPr>
        <w:t>ПРОШУ СУД: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1. Признать земельный участок с кадастровым номером __________________ функционально связанным с единственным пригодным для постоянного проживания жилым домом.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2. Исключить земельный участок из конкурсной массы Иванова Ивана Ивановича.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3. Обязать финансового управляющего исключить участок из описи имущества и прекратить действия по его отдельной оценке и реализации.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4. До разрешения заявления запретить проведение торгов и регистрацию перехода права собственности на земельный участок.</w:t>
      </w:r>
    </w:p>
    <w:p>
      <w:pPr>
        <w:keepNext/>
        <w:spacing w:line="259" w:lineRule="auto" w:before="0" w:after="4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Приложения: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1. Выписки из ЕГРН на жилой дом и земельный участок.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2. Кадастровый план, схема расположения дома, инженерных сетей и иных объектов на участке.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3. Технический план дома, документы о подключении коммуникаций.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4. Фотографии участка и объектов инфраструктуры.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5. Документы об отсутствии иного жилья и отсутствии ипотеки.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6. Заключение кадастрового инженера / специалиста о невозможности самостоятельного использования или раздела участка — при наличии.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7. Копия описи имущества и переписка с финансовым управляющим.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8. Доказательства направления ходатайства лицам, участвующим в деле.</w:t>
      </w:r>
    </w:p>
    <w:p>
      <w:pPr>
        <w:keepNext w:val="0"/>
        <w:spacing w:line="259" w:lineRule="auto" w:before="0" w:after="4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5102"/>
        <w:gridCol w:w="3969"/>
      </w:tblGrid>
      <w:tr>
        <w:tc>
          <w:tcPr>
            <w:tcW w:type="dxa" w:w="5128"/>
            <w:vAlign w:val="center"/>
            <w:shd w:fill="FFFFFF"/>
          </w:tcPr>
          <w:p>
            <w:pPr>
              <w:jc w:val="left"/>
            </w:pPr>
            <w:r>
              <w:rPr>
                <w:rFonts w:ascii="Times New Roman" w:hAnsi="Times New Roman"/>
                <w:sz w:val="24"/>
              </w:rPr>
              <w:t>«___» __________ 20___ года</w:t>
            </w:r>
          </w:p>
        </w:tc>
        <w:tc>
          <w:tcPr>
            <w:tcW w:type="dxa" w:w="5128"/>
            <w:vAlign w:val="center"/>
            <w:shd w:fill="FFFFFF"/>
          </w:tcPr>
          <w:p>
            <w:pPr>
              <w:jc w:val="right"/>
            </w:pPr>
            <w:r>
              <w:rPr>
                <w:rFonts w:ascii="Times New Roman" w:hAnsi="Times New Roman"/>
                <w:sz w:val="24"/>
              </w:rPr>
              <w:t>______________/И.И. Иванов/</w:t>
            </w:r>
          </w:p>
        </w:tc>
      </w:tr>
    </w:tbl>
    <w:p>
      <w:pPr>
        <w:keepNext w:val="0"/>
        <w:spacing w:line="259" w:lineRule="auto" w:before="0" w:after="0"/>
        <w:jc w:val="center"/>
      </w:pPr>
      <w:r>
        <w:rPr>
          <w:rFonts w:ascii="Times New Roman" w:hAnsi="Times New Roman" w:eastAsia="Times New Roman"/>
          <w:b w:val="0"/>
          <w:i/>
          <w:sz w:val="24"/>
        </w:rPr>
        <w:t>Образец требует адаптации к обстоятельствам конкретного дела и представленным доказательствам.</w:t>
      </w:r>
    </w:p>
    <w:sectPr w:rsidR="00FC693F" w:rsidRPr="0006063C" w:rsidSect="00034616">
      <w:footerReference w:type="default" r:id="rId9"/>
      <w:pgSz w:w="12240" w:h="15840"/>
      <w:pgMar w:top="964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i/>
        <w:sz w:val="16"/>
      </w:rPr>
      <w:t>zotowa.ru • библиотека процессуальных документов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