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 продлении срока устранения недостатков заявления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Арбитражного суда города Москвы от «___» __________ 20__ года заявление о признании [Ф.И.О.] банкротом оставлено без движения, срок для устранения недостатков установлен до «___» __________ 20__ года.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принимает меры для исполнения определения, однако получение [справок банков, выписки ЕГРН, сведений ФНС, ГИБДД, документов работодателя, кредитного отчета либо иных документов] зависит от действий третьих лиц и требует дополнительного времени. Запросы направлены «___» __________ 20__ года, что подтверждается приложенными документами.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Невозможность представить документы в первоначально установленный срок вызвана объективными обстоятельствами и не свидетельствует об уклонении от исполнения определения. В соответствии со статьей 118 АПК РФ назначенный судом процессуальный срок может быть продлен.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Продлить срок устранения недостатков заявления о признании гражданина банкротом до «___» __________ 20__ года.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Не возвращать заявление до истечения продленного срока.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Копия определения об оставлении заявления без движения.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Копии запросов в соответствующие органы и организации.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3. Подтверждения направления или регистрации запросов.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4. Иные документы, подтверждающие уважительность причин.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