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В [НАИМЕНОВАНИЕ МФЦ]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УВЕДОМЛЕНИЕ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существенном изменении имущественного положения гражданина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Сведения о возбуждении процедуры внесудебного банкротства в отношении меня включены в ЕФРСБ [дата], номер сообщения [номер].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[Дата] произошло существенное изменение моего имущественного положения: [получено наследство / имущество в дар / возвращено имущество по результатам оспаривания сделки / получена значительная денежная сумма / возник иной доход или имущественное право]. Стоимость имущества или размер денежных средств составляет ориентировочно [сумма] руб.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Указанное изменение позволяет полностью либо в значительной части исполнить обязательства перед кредиторами, включенными в список кредиторов. Настоящее уведомление подается в пределах пяти рабочих дней в исполнение пункта 1 статьи 223.5 Федерального закона от 26.10.2002 № 127-ФЗ «О несостоятельности (банкротстве)».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Прошу принять уведомление и включить в ЕФРСБ сведения о прекращении процедуры внесудебного банкротства в установленный законом срок.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Документы, подтверждающие изменение имущественного положения.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Копия сообщения ЕФРСБ о возбуждении процедуры.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Доверенность представителя - при необходимости.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гражданина]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МФЦ об изменении имущественного положения гражданина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