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ОБРАЗЕЦ ЗАПОЛНЕНИЯ СВЕДЕНИЙ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о задолженности перед банками и микрофинансовыми организациями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C9D3DA"/>
          <w:left w:val="single" w:sz="4" w:space="0" w:color="C9D3DA"/>
          <w:bottom w:val="single" w:sz="4" w:space="0" w:color="C9D3DA"/>
          <w:right w:val="single" w:sz="4" w:space="0" w:color="C9D3DA"/>
          <w:insideH w:val="single" w:sz="4" w:space="0" w:color="C9D3DA"/>
          <w:insideV w:val="single" w:sz="4" w:space="0" w:color="C9D3DA"/>
        </w:tblBorders>
      </w:tblPr>
      <w:tblGrid>
        <w:gridCol w:w="10369"/>
      </w:tblGrid>
      <w:tr>
        <w:trPr>
          <w:trHeight w:hRule="atLeast"/>
        </w:trPr>
        <w:tc>
          <w:tcPr>
            <w:tcW w:type="dxa" w:w="10369"/>
            <w:shd w:fill="F4F6F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49535C"/>
                <w:sz w:val="18"/>
              </w:rPr>
              <w:t>Все данные в примере условные. Каждое кредитное обязательство указывается отдельной строкой, даже если кредитор один и тот же.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AAB4BC"/>
          <w:left w:val="single" w:sz="4" w:space="0" w:color="AAB4BC"/>
          <w:bottom w:val="single" w:sz="4" w:space="0" w:color="AAB4BC"/>
          <w:right w:val="single" w:sz="4" w:space="0" w:color="AAB4BC"/>
          <w:insideH w:val="single" w:sz="4" w:space="0" w:color="AAB4BC"/>
          <w:insideV w:val="single" w:sz="4" w:space="0" w:color="AAB4BC"/>
        </w:tblBorders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№</w:t>
            </w:r>
          </w:p>
        </w:tc>
        <w:tc>
          <w:tcPr>
            <w:tcW w:type="dxa" w:w="2835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Кредитор и реквизиты</w:t>
            </w:r>
          </w:p>
        </w:tc>
        <w:tc>
          <w:tcPr>
            <w:tcW w:type="dxa" w:w="260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Основание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Сумма обязательства, руб.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Просрочено, руб.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Обеспечение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1</w:t>
            </w:r>
          </w:p>
        </w:tc>
        <w:tc>
          <w:tcPr>
            <w:tcW w:type="dxa" w:w="2835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ПАО «Банк Развития» (условное наименование), ИНН 7700000001, ОГРН 1027700000001, 109000, г. Москва, ул. Примерная, д. 1</w:t>
            </w:r>
          </w:p>
        </w:tc>
        <w:tc>
          <w:tcPr>
            <w:tcW w:type="dxa" w:w="260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Кредит наличными, договор № КН-1456 от 15.04.2022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245 800,00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198 450,00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не обеспечено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2</w:t>
            </w:r>
          </w:p>
        </w:tc>
        <w:tc>
          <w:tcPr>
            <w:tcW w:type="dxa" w:w="2835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ПАО «Банк Развития» (условное наименование), те же реквизиты</w:t>
            </w:r>
          </w:p>
        </w:tc>
        <w:tc>
          <w:tcPr>
            <w:tcW w:type="dxa" w:w="260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Кредитная карта, договор № КК-7788 от 02.09.2021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76 320,00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76 320,00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не обеспечено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3</w:t>
            </w:r>
          </w:p>
        </w:tc>
        <w:tc>
          <w:tcPr>
            <w:tcW w:type="dxa" w:w="2835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ООО МКК «Финанс-Плюс» (условное наименование), ИНН 7700000002, ОГРН 1157700000002, 115000, г. Москва, пер. Учебный, д. 5</w:t>
            </w:r>
          </w:p>
        </w:tc>
        <w:tc>
          <w:tcPr>
            <w:tcW w:type="dxa" w:w="260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Договор потребительского займа № МЗ-2241 от 10.01.2024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37 000,00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37 000,00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не обеспечено</w:t>
            </w:r>
          </w:p>
        </w:tc>
      </w:tr>
    </w:tbl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b/>
          <w:sz w:val="23"/>
        </w:rPr>
        <w:t>Итого</w:t>
      </w:r>
      <w:r>
        <w:rPr>
          <w:rFonts w:ascii="Times New Roman" w:hAnsi="Times New Roman" w:eastAsia="Times New Roman"/>
          <w:sz w:val="23"/>
        </w:rPr>
        <w:t xml:space="preserve"> по примеру: 359 120,00 руб., в том числе просрочено 311 770,00 руб.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Как заполнять</w:t>
      </w:r>
    </w:p>
    <w:p>
      <w:pPr>
        <w:spacing w:after="4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• В графе «кредитор» указываются полное наименование, ИНН, ОГРН и адрес. Данные лучше сверить с договором, выпиской из ЕГРЮЛ или официальным сайтом кредитора.</w:t>
      </w:r>
    </w:p>
    <w:p>
      <w:pPr>
        <w:spacing w:after="4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• В графе «сумма обязательства» отражается основной долг и договорные проценты. Штрафы, пени, проценты за просрочку и иные санкции отдельно в итог для проверки порога 25 000–1 000 000 руб. не включаются.</w:t>
      </w:r>
    </w:p>
    <w:p>
      <w:pPr>
        <w:spacing w:after="4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• Если право требования уступлено коллекторской организации, указывается текущий кредитор; сведения о первоначальном кредиторе и договоре сохраняются в описании основания.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79" w:right="879" w:bottom="822" w:left="99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сведений о задолженности перед банками и МФО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