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7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7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7"/>
              </w:rPr>
              <w:t>Конкурсный кредитор / уполномоченный орган: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7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126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5"/>
        </w:rPr>
        <w:t>ХОДАТАЙСТВО ОБ ОТМЕНЕ ПЛАНА РЕСТРУКТУРИЗАЦИИ ДОЛГОВ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0"/>
        </w:rPr>
        <w:t>Определением Арбитражного суда города Москвы от [дата] утвержден план реструктуризации долгов гражданина [Ф.И.О.]. Требование заявителя в размере [сумма] руб. включено в план. Гражданин нарушил условия плана, что дает заявителю право требовать его отмены.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0"/>
        </w:rPr>
        <w:t>Основание для отмены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/>
          <w:color w:val="5C656E"/>
          <w:sz w:val="19"/>
        </w:rPr>
        <w:t>Выберите и подробно заполните применимое основание: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19"/>
        </w:rPr>
        <w:t>в план и приложенные документы включены недостоверные сведения: [какие именно, чем подтверждается их недостоверность и как они повлияли на утверждение плана];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19"/>
        </w:rPr>
        <w:t>гражданин не уведомил кредиторов об обстоятельствах, предусмотренных пунктом 2 статьи 213.13 Закона о банкротстве: [обстоятельство и дата, когда оно стало известно];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19"/>
        </w:rPr>
        <w:t>гражданин не исполнил обязательство перед заявителем: по графику до [дата] подлежало уплате [сумма] руб., фактически уплачено [сумма] руб., просрочка составляет [сумма] руб.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0"/>
        </w:rPr>
        <w:t>Расчет нарушения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2017"/>
        <w:gridCol w:w="2017"/>
        <w:gridCol w:w="2017"/>
        <w:gridCol w:w="2017"/>
        <w:gridCol w:w="2017"/>
      </w:tblGrid>
      <w:tr>
        <w:trPr>
          <w:tblHeader w:val="true"/>
        </w:trPr>
        <w:tc>
          <w:tcPr>
            <w:tcW w:type="dxa" w:w="170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Период / дата</w:t>
            </w:r>
          </w:p>
        </w:tc>
        <w:tc>
          <w:tcPr>
            <w:tcW w:type="dxa" w:w="181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Сумма по плану, руб.</w:t>
            </w:r>
          </w:p>
        </w:tc>
        <w:tc>
          <w:tcPr>
            <w:tcW w:type="dxa" w:w="192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Фактически уплачено, руб.</w:t>
            </w:r>
          </w:p>
        </w:tc>
        <w:tc>
          <w:tcPr>
            <w:tcW w:type="dxa" w:w="170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Просрочка, руб.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Доказательство</w:t>
            </w:r>
          </w:p>
        </w:tc>
      </w:tr>
      <w:tr>
        <w:trPr>
          <w:cantSplit/>
        </w:trPr>
        <w:tc>
          <w:tcPr>
            <w:tcW w:type="dxa" w:w="170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[месяц / дата]</w:t>
            </w:r>
          </w:p>
        </w:tc>
        <w:tc>
          <w:tcPr>
            <w:tcW w:type="dxa" w:w="181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92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70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[выписка / отсутствие платежа]</w:t>
            </w:r>
          </w:p>
        </w:tc>
      </w:tr>
      <w:tr>
        <w:trPr>
          <w:cantSplit/>
        </w:trPr>
        <w:tc>
          <w:tcPr>
            <w:tcW w:type="dxa" w:w="170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Итого</w:t>
            </w:r>
          </w:p>
        </w:tc>
        <w:tc>
          <w:tcPr>
            <w:tcW w:type="dxa" w:w="181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92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70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</w:r>
          </w:p>
        </w:tc>
      </w:tr>
    </w:tbl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0"/>
        </w:rPr>
        <w:t>Копия настоящего ходатайства и приложений направлена гражданину [способ, дата], что подтверждается [почтовая квитанция / электронное уведомление]. На дату обращения нарушение не устранено.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1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19"/>
        </w:rPr>
        <w:t>Отменить план реструктуризации долгов гражданина [Ф.И.О.], утвержденный определением от [дата].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19"/>
        </w:rPr>
        <w:t>Признать гражданина [Ф.И.О.] банкротом и ввести процедуру реализации имущества гражданина.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19"/>
        </w:rPr>
        <w:t>Учесть требование заявителя в реестре в части, подлежащей удовлетворению на дату отмены плана.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0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19"/>
        </w:rPr>
        <w:t>Копия определения об утверждении плана.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19"/>
        </w:rPr>
        <w:t>Выписка из реестра требований кредиторов / судебный акт о включении требования.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19"/>
        </w:rPr>
        <w:t>График платежей.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19"/>
        </w:rPr>
        <w:t>Расчет просрочки и банковские выписки.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19"/>
        </w:rPr>
        <w:t>Доказательства недостоверности сведений или неуведомления - при соответствующем основании.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19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19"/>
        </w:rPr>
        <w:t>Доказательства направления ходатайства гражданину и иным участникам дела.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7"/>
              </w:rPr>
              <w:t>Заявитель</w:t>
            </w:r>
          </w:p>
          <w:p>
            <w:pPr>
              <w:spacing w:before="40" w:after="0"/>
            </w:pPr>
            <w:r>
              <w:rPr>
                <w:rFonts w:ascii="Arial" w:hAnsi="Arial"/>
                <w:sz w:val="17"/>
              </w:rPr>
              <w:t>Дата: «___» __________ 20__ г.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представитель]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765" w:right="1020" w:bottom="65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отмене плана реструктуризации долгов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