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3"/>
        <w:gridCol w:w="5043"/>
      </w:tblGrid>
      <w:tr>
        <w:tc>
          <w:tcPr>
            <w:tcW w:type="dxa" w:w="4536"/>
          </w:tcPr>
          <w:p/>
        </w:tc>
        <w:tc>
          <w:tcPr>
            <w:tcW w:type="dxa" w:w="510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Арбитражный суд города Москвы</w:t>
              <w:br/>
              <w:t>115225, г. Москва, ул. Большая Тульская, д. 17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Дело № [А40-____/20__]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Гражданин-должник: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/ наименование]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[ИНН / СНИЛС / ОГРН]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[телефон, электронная почта]</w:t>
            </w:r>
          </w:p>
          <w:p>
            <w:pPr>
              <w:keepNext w:val="0"/>
              <w:widowControl/>
              <w:spacing w:before="80" w:after="0" w:line="252" w:lineRule="auto"/>
            </w:pPr>
            <w:r>
              <w:rPr>
                <w:rFonts w:ascii="Arial" w:hAnsi="Arial" w:eastAsia="Arial"/>
                <w:b/>
                <w:i w:val="0"/>
                <w:color w:val="303F4D"/>
                <w:sz w:val="18"/>
              </w:rPr>
              <w:t>Финансовый управляющий: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[Ф.И.О.]</w:t>
            </w:r>
          </w:p>
          <w:p>
            <w:pPr>
              <w:keepNext w:val="0"/>
              <w:widowControl/>
              <w:spacing w:before="0" w:after="0" w:line="240" w:lineRule="auto"/>
            </w:pPr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/ электронная почта]</w:t>
            </w:r>
          </w:p>
        </w:tc>
      </w:tr>
    </w:tbl>
    <w:p/>
    <w:p>
      <w:pPr>
        <w:keepNext w:val="0"/>
        <w:widowControl/>
        <w:spacing w:before="100" w:after="20" w:line="276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№ 119</w:t>
      </w:r>
    </w:p>
    <w:p>
      <w:pPr>
        <w:keepNext/>
        <w:widowControl/>
        <w:spacing w:before="0" w:after="140" w:line="276" w:lineRule="auto"/>
        <w:jc w:val="center"/>
      </w:pPr>
      <w:r>
        <w:rPr>
          <w:rFonts w:ascii="Arial" w:hAnsi="Arial" w:eastAsia="Arial"/>
          <w:b/>
          <w:i w:val="0"/>
          <w:color w:val="181C20"/>
          <w:sz w:val="26"/>
        </w:rPr>
        <w:t>ПЛАН РЕСТРУКТУРИЗАЦИИ ДОЛГОВ ГРАЖДАНИНА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Настоящий план подготовлен гражданином [Ф.И.О.] в рамках дела о банкротстве № [номер дела] в соответствии со статьями 213.12-213.17 Федерального закона от 26.10.2002 № 127-ФЗ «О несостоятельности (банкротстве)». Цель плана - восстановление платежеспособности гражданина и погашение известных ему требований кредиторов на экономически исполнимых и равных условиях.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9639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E9EEF2"/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303F4D"/>
                <w:sz w:val="17"/>
              </w:rPr>
              <w:t>Срок реализации плана по общему правилу не может превышать пяти лет. Если план утверждается судом вопреки решению собрания кредиторов, его срок не может превышать трех лет.</w:t>
            </w:r>
          </w:p>
        </w:tc>
      </w:tr>
    </w:tbl>
    <w:p/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1. Сведения о гражданине и процедуре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5043"/>
        <w:gridCol w:w="5043"/>
      </w:tblGrid>
      <w:tr>
        <w:trPr>
          <w:tblHeader w:val="true"/>
        </w:trPr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Показатель</w:t>
            </w:r>
          </w:p>
        </w:tc>
        <w:tc>
          <w:tcPr>
            <w:tcW w:type="dxa" w:w="623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Сведения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Ф.И.О.</w:t>
            </w:r>
          </w:p>
        </w:tc>
        <w:tc>
          <w:tcPr>
            <w:tcW w:type="dxa" w:w="623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 полностью]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Дата рождения</w:t>
            </w:r>
          </w:p>
        </w:tc>
        <w:tc>
          <w:tcPr>
            <w:tcW w:type="dxa" w:w="623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[дата]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Адрес</w:t>
            </w:r>
          </w:p>
        </w:tc>
        <w:tc>
          <w:tcPr>
            <w:tcW w:type="dxa" w:w="623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[адрес регистрации и проживания]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Определение о введении реструктуризации</w:t>
            </w:r>
          </w:p>
        </w:tc>
        <w:tc>
          <w:tcPr>
            <w:tcW w:type="dxa" w:w="623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[дата и реквизиты судебного акта]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Финансовый управляющий</w:t>
            </w:r>
          </w:p>
        </w:tc>
        <w:tc>
          <w:tcPr>
            <w:tcW w:type="dxa" w:w="623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[Ф.И.О., СРО]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Дата начала исполнения плана</w:t>
            </w:r>
          </w:p>
        </w:tc>
        <w:tc>
          <w:tcPr>
            <w:tcW w:type="dxa" w:w="623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[дата]</w:t>
            </w:r>
          </w:p>
        </w:tc>
      </w:tr>
      <w:tr>
        <w:trPr>
          <w:cantSplit/>
        </w:trPr>
        <w:tc>
          <w:tcPr>
            <w:tcW w:type="dxa" w:w="340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Срок исполнения</w:t>
            </w:r>
          </w:p>
        </w:tc>
        <w:tc>
          <w:tcPr>
            <w:tcW w:type="dxa" w:w="6237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[количество месяцев, конечная дата]</w:t>
            </w:r>
          </w:p>
        </w:tc>
      </w:tr>
    </w:tbl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2. Экономическое обоснование плана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Гражданин имеет стабильный источник дохода: [место работы / вид деятельности / пенсия / иной источник]. Среднемесячный доход за последние шесть месяцев составляет [сумма] руб. После сохранения денежных средств в размере, необходимом для содержания гражданина и лиц, находящихся на его иждивении, на расчеты с кредиторами может ежемесячно направляться [сумма] руб.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5043"/>
        <w:gridCol w:w="5043"/>
      </w:tblGrid>
      <w:tr>
        <w:trPr>
          <w:tblHeader w:val="true"/>
        </w:trPr>
        <w:tc>
          <w:tcPr>
            <w:tcW w:type="dxa" w:w="68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Показатель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Среднемесячная сумма, руб.</w:t>
            </w:r>
          </w:p>
        </w:tc>
      </w:tr>
      <w:tr>
        <w:trPr>
          <w:cantSplit/>
        </w:trPr>
        <w:tc>
          <w:tcPr>
            <w:tcW w:type="dxa" w:w="68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Заработная плата / иной регулярный доход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[0,00]</w:t>
            </w:r>
          </w:p>
        </w:tc>
      </w:tr>
      <w:tr>
        <w:trPr>
          <w:cantSplit/>
        </w:trPr>
        <w:tc>
          <w:tcPr>
            <w:tcW w:type="dxa" w:w="68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Иные подтвержденные поступления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[0,00]</w:t>
            </w:r>
          </w:p>
        </w:tc>
      </w:tr>
      <w:tr>
        <w:trPr>
          <w:cantSplit/>
        </w:trPr>
        <w:tc>
          <w:tcPr>
            <w:tcW w:type="dxa" w:w="68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Итого доход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[0,00]</w:t>
            </w:r>
          </w:p>
        </w:tc>
      </w:tr>
      <w:tr>
        <w:trPr>
          <w:cantSplit/>
        </w:trPr>
        <w:tc>
          <w:tcPr>
            <w:tcW w:type="dxa" w:w="68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Необходимые расходы гражданина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[0,00]</w:t>
            </w:r>
          </w:p>
        </w:tc>
      </w:tr>
      <w:tr>
        <w:trPr>
          <w:cantSplit/>
        </w:trPr>
        <w:tc>
          <w:tcPr>
            <w:tcW w:type="dxa" w:w="68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Расходы на иждивенцев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[0,00]</w:t>
            </w:r>
          </w:p>
        </w:tc>
      </w:tr>
      <w:tr>
        <w:trPr>
          <w:cantSplit/>
        </w:trPr>
        <w:tc>
          <w:tcPr>
            <w:tcW w:type="dxa" w:w="68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Резерв на текущие обязательства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[0,00]</w:t>
            </w:r>
          </w:p>
        </w:tc>
      </w:tr>
      <w:tr>
        <w:trPr>
          <w:cantSplit/>
        </w:trPr>
        <w:tc>
          <w:tcPr>
            <w:tcW w:type="dxa" w:w="68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7"/>
              </w:rPr>
              <w:t>Средства для кредиторов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7"/>
              </w:rPr>
              <w:t>[0,00]</w:t>
            </w:r>
          </w:p>
        </w:tc>
      </w:tr>
    </w:tbl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3. Состав требований и размер погашения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План охватывает требования всех конкурсных кредиторов и уполномоченного органа, известных гражданину на дату направления проекта плана, независимо от факта их включения в реестр. Требования погашаются пропорционально, если иное прямо не согласовано соответствующим кредитором.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5818C"/>
          <w:left w:val="single" w:sz="6" w:space="0" w:color="75818C"/>
          <w:bottom w:val="single" w:sz="6" w:space="0" w:color="75818C"/>
          <w:right w:val="single" w:sz="6" w:space="0" w:color="75818C"/>
          <w:insideH w:val="single" w:sz="6" w:space="0" w:color="75818C"/>
          <w:insideV w:val="single" w:sz="6" w:space="0" w:color="75818C"/>
        </w:tblBorders>
      </w:tblPr>
      <w:tblGrid>
        <w:gridCol w:w="1681"/>
        <w:gridCol w:w="1681"/>
        <w:gridCol w:w="1681"/>
        <w:gridCol w:w="1681"/>
        <w:gridCol w:w="1681"/>
        <w:gridCol w:w="1681"/>
      </w:tblGrid>
      <w:tr>
        <w:trPr>
          <w:tblHeader w:val="true"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№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Кредитор</w:t>
            </w:r>
          </w:p>
        </w:tc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Размер требования, руб.</w:t>
            </w:r>
          </w:p>
        </w:tc>
        <w:tc>
          <w:tcPr>
            <w:tcW w:type="dxa" w:w="13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Доля погашения</w:t>
            </w:r>
          </w:p>
        </w:tc>
        <w:tc>
          <w:tcPr>
            <w:tcW w:type="dxa" w:w="15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Сумма по плану, руб.</w:t>
            </w:r>
          </w:p>
        </w:tc>
        <w:tc>
          <w:tcPr>
            <w:tcW w:type="dxa" w:w="249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  <w:shd w:fill="425466"/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5"/>
              </w:rPr>
              <w:t>Период / платеж</w:t>
            </w:r>
          </w:p>
        </w:tc>
      </w:tr>
      <w:tr>
        <w:trPr>
          <w:cantSplit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5"/>
              </w:rPr>
              <w:t>1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[наименование / Ф.И.О.]</w:t>
            </w:r>
          </w:p>
        </w:tc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[0,00]</w:t>
            </w:r>
          </w:p>
        </w:tc>
        <w:tc>
          <w:tcPr>
            <w:tcW w:type="dxa" w:w="13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[100 / иной согласованный %]</w:t>
            </w:r>
          </w:p>
        </w:tc>
        <w:tc>
          <w:tcPr>
            <w:tcW w:type="dxa" w:w="15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[0,00]</w:t>
            </w:r>
          </w:p>
        </w:tc>
        <w:tc>
          <w:tcPr>
            <w:tcW w:type="dxa" w:w="249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[ежемесячно до __ числа]</w:t>
            </w:r>
          </w:p>
        </w:tc>
      </w:tr>
      <w:tr>
        <w:trPr>
          <w:cantSplit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5"/>
              </w:rPr>
              <w:t>2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[наименование / Ф.И.О.]</w:t>
            </w:r>
          </w:p>
        </w:tc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[0,00]</w:t>
            </w:r>
          </w:p>
        </w:tc>
        <w:tc>
          <w:tcPr>
            <w:tcW w:type="dxa" w:w="13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[100 / иной согласованный %]</w:t>
            </w:r>
          </w:p>
        </w:tc>
        <w:tc>
          <w:tcPr>
            <w:tcW w:type="dxa" w:w="15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[0,00]</w:t>
            </w:r>
          </w:p>
        </w:tc>
        <w:tc>
          <w:tcPr>
            <w:tcW w:type="dxa" w:w="249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[ежемесячно до __ числа]</w:t>
            </w:r>
          </w:p>
        </w:tc>
      </w:tr>
      <w:tr>
        <w:trPr>
          <w:cantSplit/>
        </w:trPr>
        <w:tc>
          <w:tcPr>
            <w:tcW w:type="dxa" w:w="453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5"/>
              </w:rPr>
              <w:t>3</w:t>
            </w:r>
          </w:p>
        </w:tc>
        <w:tc>
          <w:tcPr>
            <w:tcW w:type="dxa" w:w="2381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[известный кредитор, не включенный в реестр]</w:t>
            </w:r>
          </w:p>
        </w:tc>
        <w:tc>
          <w:tcPr>
            <w:tcW w:type="dxa" w:w="147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[0,00]</w:t>
            </w:r>
          </w:p>
        </w:tc>
        <w:tc>
          <w:tcPr>
            <w:tcW w:type="dxa" w:w="130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[условия соответствующей группы]</w:t>
            </w:r>
          </w:p>
        </w:tc>
        <w:tc>
          <w:tcPr>
            <w:tcW w:type="dxa" w:w="15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[0,00]</w:t>
            </w:r>
          </w:p>
        </w:tc>
        <w:tc>
          <w:tcPr>
            <w:tcW w:type="dxa" w:w="249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5"/>
              </w:rPr>
              <w:t>[срок]</w:t>
            </w:r>
          </w:p>
        </w:tc>
      </w:tr>
    </w:tbl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4. Порядок исполнения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Платежи производятся ежемесячно не позднее [число] числа на банковские реквизиты кредиторов либо на специальный счет, определенный финансовым управляющим.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Первый платеж осуществляется не позднее [дата]. Окончательный платеж - не позднее [дата].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При досрочном поступлении денежных средств гражданин вправе произвести досрочное погашение без ухудшения положения иных кредиторов.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Текущие обязательства, а также требования первой и второй очереди исполняются вне графика в порядке и сроки, установленные законом.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Проценты на сумму требований учитываются и уплачиваются в порядке, установленном Законом о банкротстве и настоящим планом.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• </w:t>
      </w:r>
      <w:r>
        <w:rPr>
          <w:rFonts w:ascii="Arial" w:hAnsi="Arial" w:eastAsia="Arial"/>
          <w:b w:val="0"/>
          <w:i w:val="0"/>
          <w:color w:val="181C20"/>
          <w:sz w:val="20"/>
        </w:rPr>
        <w:t>Документы об оплате передаются финансовому управляющему не позднее пяти рабочих дней после платежа.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5. Залоговые требования и имущество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/>
          <w:color w:val="5C656E"/>
          <w:sz w:val="20"/>
        </w:rPr>
        <w:t>[Если имеются залоговые кредиторы: указать предмет залога, порядок его сохранения либо продажи, сроки реализации и направление выручки. План должен обеспечивать преимущественное удовлетворение залогового кредитора, если он прямо не согласился на иные условия.]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6. Существенное изменение имущественного положения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Существенным изменением признается увеличение или уменьшение среднемесячного дохода более чем на [20] процентов, утрата работы, получение наследства, отчуждение или приобретение имущества стоимостью свыше [сумма] руб., возникновение обязанности содержать нового иждивенца либо иное обстоятельство, способное повлиять на исполнение плана. Гражданин уведомляет финансового управляющего и кредиторов в течение пятнадцати дней с даты такого изменения.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7. Контроль исполнения и последствия нарушения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Финансовый управляющий контролирует исполнение графика на основании платежных документов и сведений о доходах. Просрочка платежа более чем на [количество] календарных дней считается существенным нарушением, если она не устранена до даты рассмотрения соответствующего вопроса судом. Стороны вправе предложить изменение плана в порядке статьи 213.20 Закона о банкротстве.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8. Заявление гражданина</w:t>
      </w:r>
    </w:p>
    <w:p>
      <w:pPr>
        <w:keepNext w:val="0"/>
        <w:widowControl/>
        <w:spacing w:before="0" w:after="100" w:line="276" w:lineRule="auto"/>
        <w:jc w:val="both"/>
      </w:pPr>
      <w:r>
        <w:rPr>
          <w:rFonts w:ascii="Arial" w:hAnsi="Arial" w:eastAsia="Arial"/>
          <w:b w:val="0"/>
          <w:i w:val="0"/>
          <w:color w:val="181C20"/>
          <w:sz w:val="21"/>
        </w:rPr>
        <w:t>Гражданин подтверждает достоверность и полноту сведений, приложенных к плану, наличие источника дохода и соответствие требованиям статьи 213.13 Закона о банкротстве. План является экономически исполнимым, не нарушает очередность и принцип пропорциональности удовлетворения требований.</w:t>
      </w:r>
    </w:p>
    <w:p>
      <w:pPr>
        <w:keepNext/>
        <w:widowControl/>
        <w:spacing w:before="140" w:after="80" w:line="276" w:lineRule="auto"/>
      </w:pPr>
      <w:r>
        <w:rPr>
          <w:rFonts w:ascii="Arial" w:hAnsi="Arial" w:eastAsia="Arial"/>
          <w:b/>
          <w:i w:val="0"/>
          <w:color w:val="303F4D"/>
          <w:sz w:val="21"/>
        </w:rPr>
        <w:t>Приложения: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1. </w:t>
      </w:r>
      <w:r>
        <w:rPr>
          <w:rFonts w:ascii="Arial" w:hAnsi="Arial" w:eastAsia="Arial"/>
          <w:b w:val="0"/>
          <w:i w:val="0"/>
          <w:color w:val="181C20"/>
          <w:sz w:val="20"/>
        </w:rPr>
        <w:t>Перечень имущества и имущественных прав гражданина с подтверждающими документами.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2. </w:t>
      </w:r>
      <w:r>
        <w:rPr>
          <w:rFonts w:ascii="Arial" w:hAnsi="Arial" w:eastAsia="Arial"/>
          <w:b w:val="0"/>
          <w:i w:val="0"/>
          <w:color w:val="181C20"/>
          <w:sz w:val="20"/>
        </w:rPr>
        <w:t>Сведения об источниках дохода за шесть месяцев, предшествующих представлению плана.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3. </w:t>
      </w:r>
      <w:r>
        <w:rPr>
          <w:rFonts w:ascii="Arial" w:hAnsi="Arial" w:eastAsia="Arial"/>
          <w:b w:val="0"/>
          <w:i w:val="0"/>
          <w:color w:val="181C20"/>
          <w:sz w:val="20"/>
        </w:rPr>
        <w:t>Сведения о кредиторской задолженности, включая текущие обязательства.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4. </w:t>
      </w:r>
      <w:r>
        <w:rPr>
          <w:rFonts w:ascii="Arial" w:hAnsi="Arial" w:eastAsia="Arial"/>
          <w:b w:val="0"/>
          <w:i w:val="0"/>
          <w:color w:val="181C20"/>
          <w:sz w:val="20"/>
        </w:rPr>
        <w:t>Кредитный отчет из бюро кредитных историй либо документ об отсутствии кредитной истории.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5. </w:t>
      </w:r>
      <w:r>
        <w:rPr>
          <w:rFonts w:ascii="Arial" w:hAnsi="Arial" w:eastAsia="Arial"/>
          <w:b w:val="0"/>
          <w:i w:val="0"/>
          <w:color w:val="181C20"/>
          <w:sz w:val="20"/>
        </w:rPr>
        <w:t>Заявление о достоверности и полноте документов и соответствии требованиям статьи 213.13 Закона о банкротстве.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6. </w:t>
      </w:r>
      <w:r>
        <w:rPr>
          <w:rFonts w:ascii="Arial" w:hAnsi="Arial" w:eastAsia="Arial"/>
          <w:b w:val="0"/>
          <w:i w:val="0"/>
          <w:color w:val="181C20"/>
          <w:sz w:val="20"/>
        </w:rPr>
        <w:t>Подробный помесячный график платежей.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7. </w:t>
      </w:r>
      <w:r>
        <w:rPr>
          <w:rFonts w:ascii="Arial" w:hAnsi="Arial" w:eastAsia="Arial"/>
          <w:b w:val="0"/>
          <w:i w:val="0"/>
          <w:color w:val="181C20"/>
          <w:sz w:val="20"/>
        </w:rPr>
        <w:t>Расчет сравнительного удовлетворения требований в реструктуризации и при немедленной реализации имущества.</w:t>
      </w:r>
    </w:p>
    <w:p>
      <w:pPr>
        <w:keepNext w:val="0"/>
        <w:widowControl/>
        <w:spacing w:before="0" w:after="60" w:line="276" w:lineRule="auto"/>
        <w:ind w:left="312" w:hanging="255"/>
        <w:jc w:val="both"/>
      </w:pPr>
      <w:r>
        <w:rPr>
          <w:rFonts w:ascii="Arial" w:hAnsi="Arial" w:eastAsia="Arial"/>
          <w:b/>
          <w:i w:val="0"/>
          <w:color w:val="425466"/>
          <w:sz w:val="20"/>
        </w:rPr>
        <w:t xml:space="preserve">8. </w:t>
      </w:r>
      <w:r>
        <w:rPr>
          <w:rFonts w:ascii="Arial" w:hAnsi="Arial" w:eastAsia="Arial"/>
          <w:b w:val="0"/>
          <w:i w:val="0"/>
          <w:color w:val="181C20"/>
          <w:sz w:val="20"/>
        </w:rPr>
        <w:t>Доказательства направления проекта финансовому управляющему, кредиторам и уполномоченному органу.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62"/>
        <w:gridCol w:w="3362"/>
        <w:gridCol w:w="3362"/>
      </w:tblGrid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Гражданин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________________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C656E"/>
                <w:sz w:val="18"/>
              </w:rPr>
              <w:t>[Ф.И.О. / представитель]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81C20"/>
                <w:sz w:val="18"/>
              </w:rPr>
              <w:t>Дата</w:t>
            </w:r>
          </w:p>
        </w:tc>
        <w:tc>
          <w:tcPr>
            <w:tcW w:type="dxa" w:w="2835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  <w:t>«___» __________ 20__ г.</w:t>
            </w:r>
          </w:p>
        </w:tc>
        <w:tc>
          <w:tcPr>
            <w:tcW w:type="dxa" w:w="4536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keepNext w:val="0"/>
              <w:widowControl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81C2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79" w:right="1020" w:bottom="822" w:left="1134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19"/>
      <w:gridCol w:w="4819"/>
    </w:tblGrid>
    <w:tr>
      <w:tc>
        <w:tcPr>
          <w:tcW w:type="dxa" w:w="8334"/>
        </w:tcPr>
        <w:p>
          <w:pPr>
            <w:keepNext w:val="0"/>
            <w:widowControl/>
            <w:spacing w:before="0" w:after="0" w:line="276" w:lineRule="auto"/>
          </w:pPr>
          <w:r>
            <w:rPr>
              <w:rFonts w:ascii="Arial" w:hAnsi="Arial" w:eastAsia="Arial"/>
              <w:b w:val="0"/>
              <w:i w:val="0"/>
              <w:color w:val="5C656E"/>
              <w:sz w:val="14"/>
            </w:rPr>
            <w:t>Образец 2026 года. Замените сведения в квадратных скобках и адаптируйте документ к материалам дела.</w:t>
          </w:r>
        </w:p>
      </w:tc>
      <w:tc>
        <w:tcPr>
          <w:tcW w:type="dxa" w:w="1304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C656E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widowControl/>
      <w:spacing w:before="0" w:after="40" w:line="276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C656E"/>
        <w:sz w:val="16"/>
      </w:rPr>
      <w:t xml:space="preserve">  |  Документы по реструктуризации долгов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реструктуризации долгов гражданина</dc:title>
  <dc:subject/>
  <dc:creator>ZOTOWA.RU</dc:creator>
  <cp:keywords>банкротство гражданина, реструктуризация долгов, образец документа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