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ind w:firstLine="0"/>
        <w:jc w:val="right"/>
      </w:pPr>
      <w:r>
        <w:rPr>
          <w:sz w:val="22"/>
        </w:rPr>
        <w:t>В Арбитражный суд города Москвы</w:t>
      </w:r>
    </w:p>
    <w:p>
      <w:pPr>
        <w:spacing w:line="240" w:lineRule="auto"/>
        <w:ind w:firstLine="0"/>
        <w:jc w:val="right"/>
      </w:pPr>
      <w:r>
        <w:rPr>
          <w:sz w:val="22"/>
        </w:rPr>
        <w:t>115225, г. Москва, ул. Большая Тульская, д. 17</w:t>
      </w:r>
    </w:p>
    <w:p>
      <w:pPr>
        <w:spacing w:line="240" w:lineRule="auto"/>
        <w:ind w:firstLine="0"/>
        <w:jc w:val="right"/>
      </w:pPr>
      <w:r>
        <w:rPr>
          <w:sz w:val="22"/>
        </w:rPr>
        <w:t>Дело № [А40-________/20__]</w:t>
      </w:r>
    </w:p>
    <w:p>
      <w:pPr>
        <w:spacing w:line="240" w:lineRule="auto"/>
        <w:ind w:firstLine="0"/>
        <w:jc w:val="right"/>
      </w:pPr>
      <w:r>
        <w:rPr>
          <w:sz w:val="22"/>
        </w:rPr>
        <w:t xml:space="preserve"> </w:t>
      </w:r>
    </w:p>
    <w:p>
      <w:pPr>
        <w:spacing w:line="240" w:lineRule="auto"/>
        <w:ind w:firstLine="0"/>
        <w:jc w:val="right"/>
      </w:pPr>
      <w:r>
        <w:rPr>
          <w:sz w:val="22"/>
        </w:rPr>
        <w:t>Должник: [Ф.И.О. полностью]</w:t>
      </w:r>
    </w:p>
    <w:p>
      <w:pPr>
        <w:spacing w:line="240" w:lineRule="auto"/>
        <w:ind w:firstLine="0"/>
        <w:jc w:val="right"/>
      </w:pPr>
      <w:r>
        <w:rPr>
          <w:sz w:val="22"/>
        </w:rPr>
        <w:t>дата рождения: [дд.мм.гггг]</w:t>
      </w:r>
    </w:p>
    <w:p>
      <w:pPr>
        <w:spacing w:line="240" w:lineRule="auto"/>
        <w:ind w:firstLine="0"/>
        <w:jc w:val="right"/>
      </w:pPr>
      <w:r>
        <w:rPr>
          <w:sz w:val="22"/>
        </w:rPr>
        <w:t>место рождения: [указать]</w:t>
      </w:r>
    </w:p>
    <w:p>
      <w:pPr>
        <w:spacing w:line="240" w:lineRule="auto"/>
        <w:ind w:firstLine="0"/>
        <w:jc w:val="right"/>
      </w:pPr>
      <w:r>
        <w:rPr>
          <w:sz w:val="22"/>
        </w:rPr>
        <w:t>адрес регистрации: [указать]</w:t>
      </w:r>
    </w:p>
    <w:p>
      <w:pPr>
        <w:spacing w:line="240" w:lineRule="auto"/>
        <w:ind w:firstLine="0"/>
        <w:jc w:val="right"/>
      </w:pPr>
      <w:r>
        <w:rPr>
          <w:sz w:val="22"/>
        </w:rPr>
        <w:t>ИНН: [указать], СНИЛС: [указать]</w:t>
      </w:r>
    </w:p>
    <w:p>
      <w:pPr>
        <w:spacing w:line="240" w:lineRule="auto"/>
        <w:ind w:firstLine="0"/>
        <w:jc w:val="right"/>
      </w:pPr>
      <w:r>
        <w:rPr>
          <w:sz w:val="22"/>
        </w:rPr>
        <w:t>телефон: [указать], e-mail: [указать]</w:t>
      </w:r>
    </w:p>
    <w:p>
      <w:pPr>
        <w:spacing w:line="240" w:lineRule="auto"/>
        <w:ind w:firstLine="0"/>
        <w:jc w:val="right"/>
      </w:pPr>
      <w:r>
        <w:rPr>
          <w:sz w:val="22"/>
        </w:rPr>
        <w:t xml:space="preserve"> </w:t>
      </w:r>
    </w:p>
    <w:p>
      <w:pPr>
        <w:spacing w:line="240" w:lineRule="auto"/>
        <w:ind w:firstLine="0"/>
        <w:jc w:val="right"/>
      </w:pPr>
      <w:r>
        <w:rPr>
          <w:sz w:val="22"/>
        </w:rPr>
        <w:t>Финансовый управляющий: [Ф.И.О.]</w:t>
      </w:r>
    </w:p>
    <w:p>
      <w:pPr>
        <w:spacing w:line="240" w:lineRule="auto"/>
        <w:ind w:firstLine="0"/>
        <w:jc w:val="right"/>
      </w:pPr>
      <w:r>
        <w:rPr>
          <w:sz w:val="22"/>
        </w:rPr>
        <w:t>адрес для корреспонденции: [указать]</w:t>
      </w:r>
    </w:p>
    <w:p>
      <w:pPr>
        <w:pStyle w:val="Title"/>
      </w:pPr>
      <w:r>
        <w:t>АПЕЛЛЯЦИОННАЯ ЖАЛОБА НА ОПРЕДЕЛЕНИЕ ОБ ОТКАЗЕ В ОСВОБОЖДЕНИИ ОТ ОБЯЗАТЕЛЬСТВ</w:t>
      </w:r>
    </w:p>
    <w:p>
      <w:pPr>
        <w:ind w:firstLine="709"/>
        <w:jc w:val="both"/>
      </w:pPr>
      <w:r>
        <w:t>Настоящая жалоба предназначена для направления в Девятый арбитражный апелляционный суд через Арбитражный суд города Москвы.</w:t>
      </w:r>
    </w:p>
    <w:p>
      <w:pPr>
        <w:ind w:firstLine="709"/>
        <w:jc w:val="both"/>
      </w:pPr>
      <w:r>
        <w:t xml:space="preserve">Определением Арбитражного суда города Москвы от </w:t>
      </w:r>
      <w:r>
        <w:rPr>
          <w:b/>
          <w:shd w:fill="E8EEF5"/>
        </w:rPr>
        <w:t>[дата]</w:t>
      </w:r>
      <w:r>
        <w:t xml:space="preserve"> по делу № </w:t>
      </w:r>
      <w:r>
        <w:rPr>
          <w:b/>
          <w:shd w:fill="E8EEF5"/>
        </w:rPr>
        <w:t>[номер]</w:t>
      </w:r>
      <w:r>
        <w:t xml:space="preserve"> процедура реализации имущества гражданина </w:t>
      </w:r>
      <w:r>
        <w:rPr>
          <w:b/>
          <w:shd w:fill="E8EEF5"/>
        </w:rPr>
        <w:t>[Ф.И.О.]</w:t>
      </w:r>
      <w:r>
        <w:t xml:space="preserve"> завершена, однако суд отказал в применении правила об освобождении от дальнейшего исполнения обязательств </w:t>
      </w:r>
      <w:r>
        <w:rPr>
          <w:b/>
          <w:shd w:fill="E8EEF5"/>
        </w:rPr>
        <w:t>[полностью / в отношении требования кредитора]</w:t>
      </w:r>
      <w:r>
        <w:t>.</w:t>
      </w:r>
    </w:p>
    <w:p>
      <w:pPr>
        <w:ind w:firstLine="709"/>
        <w:jc w:val="both"/>
      </w:pPr>
      <w:r>
        <w:t>С указанным определением в обжалуемой части должник не согласен, считает его незаконным и необоснованным.</w:t>
      </w:r>
    </w:p>
    <w:p>
      <w:pPr>
        <w:pStyle w:val="Heading1"/>
      </w:pPr>
      <w:r>
        <w:t>1. Суд не установил предусмотренные законом обстоятельства</w:t>
      </w:r>
    </w:p>
    <w:p>
      <w:pPr>
        <w:ind w:firstLine="709"/>
        <w:jc w:val="both"/>
      </w:pPr>
      <w:r>
        <w:t>Пункт 4 статьи 213.28 Закона о банкротстве связывает отказ в освобождении с доказанным неправомерным поведением должника. В определении отсутствуют установленные факты мошенничества, злостного уклонения, сокрытия или уничтожения имущества, представления заведомо ложных сведений либо воспрепятствования деятельности финансового управляющего.</w:t>
      </w:r>
    </w:p>
    <w:p>
      <w:pPr>
        <w:ind w:firstLine="709"/>
        <w:jc w:val="both"/>
      </w:pPr>
      <w:r>
        <w:t xml:space="preserve">Вывод суда основан на </w:t>
      </w:r>
      <w:r>
        <w:rPr>
          <w:b/>
          <w:shd w:fill="E8EEF5"/>
        </w:rPr>
        <w:t>[указать: самом факте получения нескольких кредитов / высокой долговой нагрузке / неполном первоначальном перечне документов / иной причине]</w:t>
      </w:r>
      <w:r>
        <w:t>, что без установления умысла и причинной связи не образует самостоятельного основания для отказа в списании долгов.</w:t>
      </w:r>
    </w:p>
    <w:p>
      <w:pPr>
        <w:pStyle w:val="Heading1"/>
      </w:pPr>
      <w:r>
        <w:t>2. Неправильно распределено бремя доказывания</w:t>
      </w:r>
    </w:p>
    <w:p>
      <w:pPr>
        <w:ind w:firstLine="709"/>
        <w:jc w:val="both"/>
      </w:pPr>
      <w:r>
        <w:t>Суд фактически возложил на должника обязанность доказать отсутствие недобросовестности, тогда как лицо, заявляющее о неприменении освобождения, должно подтвердить конкретные обстоятельства, предусмотренные законом. Неустраненные сомнения не могут автоматически толковаться против должника.</w:t>
      </w:r>
    </w:p>
    <w:p>
      <w:pPr>
        <w:pStyle w:val="Heading1"/>
      </w:pPr>
      <w:r>
        <w:t>3. Не учтено сотрудничество должника с управляющим и судом</w:t>
      </w:r>
    </w:p>
    <w:p>
      <w:pPr>
        <w:ind w:firstLine="709"/>
        <w:jc w:val="both"/>
      </w:pPr>
      <w:r>
        <w:t xml:space="preserve">Должник передал сведения об имуществе, счетах, доходах и сделках, исполнял запросы, предоставлял пояснения и не препятствовал процедуре. </w:t>
      </w:r>
      <w:r>
        <w:rPr>
          <w:b/>
          <w:shd w:fill="E8EEF5"/>
        </w:rPr>
        <w:t>[Перечислить ключевые доказательства с датами]</w:t>
      </w:r>
      <w:r>
        <w:t>. Суд первой инстанции этим обстоятельствам надлежащей оценки не дал.</w:t>
      </w:r>
    </w:p>
    <w:p>
      <w:pPr>
        <w:pStyle w:val="Heading1"/>
      </w:pPr>
      <w:r>
        <w:t>4. Причины неплатежеспособности были объективными</w:t>
      </w:r>
    </w:p>
    <w:p>
      <w:pPr>
        <w:ind w:firstLine="709"/>
        <w:jc w:val="both"/>
      </w:pPr>
      <w:r>
        <w:t xml:space="preserve">Обязательства принимались при наличии дохода и реальной возможности их исполнения. Финансовый кризис возник вследствие </w:t>
      </w:r>
      <w:r>
        <w:rPr>
          <w:b/>
          <w:shd w:fill="E8EEF5"/>
        </w:rPr>
        <w:t>[обстоятельства]</w:t>
      </w:r>
      <w:r>
        <w:t xml:space="preserve">. Должник производил платежи до </w:t>
      </w:r>
      <w:r>
        <w:rPr>
          <w:b/>
          <w:shd w:fill="E8EEF5"/>
        </w:rPr>
        <w:t>[дата]</w:t>
      </w:r>
      <w:r>
        <w:t>, предпринимал меры к урегулированию задолженности и не использовал банкротство как заранее спланированный способ прекращения обязательств.</w:t>
      </w:r>
    </w:p>
    <w:p>
      <w:pPr>
        <w:pStyle w:val="Heading1"/>
      </w:pPr>
      <w:r>
        <w:t>5. Выводы Верховного Суда применены неполно</w:t>
      </w:r>
    </w:p>
    <w:p>
      <w:pPr>
        <w:ind w:firstLine="709"/>
        <w:jc w:val="both"/>
      </w:pPr>
      <w:r>
        <w:t>Обзор судебной практики по делам о банкротстве граждан от 18.06.2025 (ред. от 29.04.2026) требует оценивать всю совокупность поведения должника. Непредставление отдельной информации не препятствует освобождению, если должник докажет отсутствие реальной возможности ее представить либо добросовестное заблуждение относительно ее значения. Эти обстоятельства судом не исследованы.</w:t>
      </w:r>
    </w:p>
    <w:p>
      <w:pPr>
        <w:ind w:firstLine="709"/>
        <w:jc w:val="both"/>
      </w:pPr>
      <w:r>
        <w:t>Кроме того, даже при выявлении недобросовестности в отношениях с одним кредитором суд обязан оценить вопрос о соразмерности и возможности частичного освобождения в отношении иных обязательств.</w:t>
      </w:r>
    </w:p>
    <w:p>
      <w:pPr>
        <w:pStyle w:val="Heading1"/>
      </w:pPr>
      <w:r>
        <w:t>На основании статей 61 Закона о банкротстве, 257-260, 268-272 АПК РФ прошу:</w:t>
      </w:r>
    </w:p>
    <w:p>
      <w:pPr>
        <w:ind w:left="397" w:hanging="397"/>
        <w:jc w:val="both"/>
      </w:pPr>
      <w:r>
        <w:rPr>
          <w:b/>
        </w:rPr>
        <w:t xml:space="preserve">1. </w:t>
      </w:r>
      <w:r>
        <w:t xml:space="preserve">отменить определение Арбитражного суда города Москвы от </w:t>
      </w:r>
      <w:r>
        <w:rPr>
          <w:b/>
          <w:shd w:fill="E8EEF5"/>
        </w:rPr>
        <w:t>[дата]</w:t>
      </w:r>
      <w:r>
        <w:t xml:space="preserve"> по делу № </w:t>
      </w:r>
      <w:r>
        <w:rPr>
          <w:b/>
          <w:shd w:fill="E8EEF5"/>
        </w:rPr>
        <w:t>[номер]</w:t>
      </w:r>
      <w:r>
        <w:t xml:space="preserve"> в части отказа в освобождении </w:t>
      </w:r>
      <w:r>
        <w:rPr>
          <w:b/>
          <w:shd w:fill="E8EEF5"/>
        </w:rPr>
        <w:t>[Ф.И.О.]</w:t>
      </w:r>
      <w:r>
        <w:t xml:space="preserve"> от обязательств;</w:t>
      </w:r>
    </w:p>
    <w:p>
      <w:pPr>
        <w:ind w:left="397" w:hanging="397"/>
        <w:jc w:val="both"/>
      </w:pPr>
      <w:r>
        <w:rPr>
          <w:b/>
        </w:rPr>
        <w:t xml:space="preserve">2. </w:t>
      </w:r>
      <w:r>
        <w:t>принять новый судебный акт о применении к должнику правила об освобождении от дальнейшего исполнения требований кредиторов;</w:t>
      </w:r>
    </w:p>
    <w:p>
      <w:pPr>
        <w:ind w:left="397" w:hanging="397"/>
        <w:jc w:val="both"/>
      </w:pPr>
      <w:r>
        <w:rPr>
          <w:b/>
        </w:rPr>
        <w:t xml:space="preserve">3. </w:t>
      </w:r>
      <w:r>
        <w:t>в качестве альтернативы — отменить определение в обжалуемой части и направить вопрос на новое рассмотрение в суд первой инстанции.</w:t>
      </w:r>
    </w:p>
    <w:p>
      <w:pPr>
        <w:pStyle w:val="Heading1"/>
      </w:pPr>
      <w:r>
        <w:t>Приложения:</w:t>
      </w:r>
    </w:p>
    <w:p>
      <w:pPr>
        <w:spacing w:line="276" w:lineRule="auto"/>
        <w:ind w:left="397" w:hanging="397"/>
      </w:pPr>
      <w:r>
        <w:t>1. Копия обжалуемого определения.</w:t>
      </w:r>
    </w:p>
    <w:p>
      <w:pPr>
        <w:spacing w:line="276" w:lineRule="auto"/>
        <w:ind w:left="397" w:hanging="397"/>
      </w:pPr>
      <w:r>
        <w:t>2. Документы, подтверждающие направление жалобы участникам дела.</w:t>
      </w:r>
    </w:p>
    <w:p>
      <w:pPr>
        <w:spacing w:line="276" w:lineRule="auto"/>
        <w:ind w:left="397" w:hanging="397"/>
      </w:pPr>
      <w:r>
        <w:t>3. Документы, подтверждающие доводы жалобы.</w:t>
      </w:r>
    </w:p>
    <w:p>
      <w:pPr>
        <w:spacing w:line="276" w:lineRule="auto"/>
        <w:ind w:left="397" w:hanging="397"/>
      </w:pPr>
      <w:r>
        <w:t>4. Документ об уплате государственной пошлины либо ходатайство о льготе / отсрочке, если пошлина подлежит уплате.</w:t>
      </w:r>
    </w:p>
    <w:p>
      <w:pPr>
        <w:spacing w:line="276" w:lineRule="auto"/>
        <w:ind w:left="397" w:hanging="397"/>
      </w:pPr>
      <w:r>
        <w:t>5. Доверенность представителя (при подписании представителем).</w:t>
      </w:r>
    </w:p>
    <w:p>
      <w:pPr>
        <w:pStyle w:val="SiteNote"/>
      </w:pPr>
      <w:r>
        <w:t>Проверьте срок обжалования, указанный в судебном акте. По общему правилу пункта 1 статьи 61 Закона о банкротстве определения по обособленным спорам обжалуются в течение одного месяца со дня вынесения.</w:t>
      </w:r>
    </w:p>
    <w:p/>
    <w:tbl>
      <w:tblPr>
        <w:tblW w:type="auto" w:w="0"/>
        <w:jc w:val="center"/>
        <w:tblLayout w:type="fixed"/>
        <w:tblLook w:firstColumn="1" w:firstRow="1" w:lastColumn="0" w:lastRow="0" w:noHBand="0" w:noVBand="1" w:val="04A0"/>
      </w:tblPr>
      <w:tblGrid>
        <w:gridCol w:w="3230"/>
        <w:gridCol w:w="3230"/>
        <w:gridCol w:w="3230"/>
      </w:tblGrid>
      <w:tr>
        <w:tc>
          <w:tcPr>
            <w:tcW w:type="dxa" w:w="2381"/>
            <w:vAlign w:val="center"/>
            <w:tcBorders>
              <w:top w:val="nil"/>
              <w:left w:val="nil"/>
              <w:bottom w:val="nil"/>
              <w:right w:val="nil"/>
            </w:tcBorders>
          </w:tcPr>
          <w:p>
            <w:pPr>
              <w:ind w:firstLine="0"/>
              <w:jc w:val="center"/>
            </w:pPr>
            <w:r>
              <w:rPr>
                <w:sz w:val="22"/>
              </w:rPr>
              <w:t>Должник / представитель</w:t>
            </w:r>
          </w:p>
        </w:tc>
        <w:tc>
          <w:tcPr>
            <w:tcW w:type="dxa" w:w="2551"/>
            <w:vAlign w:val="center"/>
            <w:tcBorders>
              <w:top w:val="nil"/>
              <w:left w:val="nil"/>
              <w:bottom w:val="nil"/>
              <w:right w:val="nil"/>
            </w:tcBorders>
          </w:tcPr>
          <w:p>
            <w:pPr>
              <w:ind w:firstLine="0"/>
              <w:jc w:val="center"/>
            </w:pPr>
            <w:r>
              <w:rPr>
                <w:sz w:val="22"/>
              </w:rPr>
              <w:t>____________ / [Ф.И.О.]</w:t>
            </w:r>
          </w:p>
        </w:tc>
        <w:tc>
          <w:tcPr>
            <w:tcW w:type="dxa" w:w="2835"/>
            <w:vAlign w:val="center"/>
            <w:tcBorders>
              <w:top w:val="nil"/>
              <w:left w:val="nil"/>
              <w:bottom w:val="nil"/>
              <w:right w:val="nil"/>
            </w:tcBorders>
          </w:tcPr>
          <w:p>
            <w:pPr>
              <w:ind w:firstLine="0"/>
              <w:jc w:val="center"/>
            </w:pPr>
            <w:r>
              <w:rPr>
                <w:sz w:val="22"/>
              </w:rPr>
              <w:t>«___» __________ 20__ г.</w:t>
            </w:r>
          </w:p>
        </w:tc>
      </w:tr>
      <w:tr>
        <w:tc>
          <w:tcPr>
            <w:tcW w:type="dxa" w:w="2381"/>
            <w:vAlign w:val="center"/>
            <w:tcBorders>
              <w:top w:val="nil"/>
              <w:left w:val="nil"/>
              <w:bottom w:val="nil"/>
              <w:right w:val="nil"/>
            </w:tcBorders>
          </w:tcPr>
          <w:p>
            <w:pPr>
              <w:ind w:firstLine="0"/>
              <w:jc w:val="center"/>
            </w:pPr>
            <w:r>
              <w:rPr>
                <w:i/>
                <w:sz w:val="16"/>
              </w:rPr>
            </w:r>
          </w:p>
        </w:tc>
        <w:tc>
          <w:tcPr>
            <w:tcW w:type="dxa" w:w="2551"/>
            <w:vAlign w:val="center"/>
            <w:tcBorders>
              <w:top w:val="nil"/>
              <w:left w:val="nil"/>
              <w:bottom w:val="nil"/>
              <w:right w:val="nil"/>
            </w:tcBorders>
          </w:tcPr>
          <w:p>
            <w:pPr>
              <w:ind w:firstLine="0"/>
              <w:jc w:val="center"/>
            </w:pPr>
            <w:r>
              <w:rPr>
                <w:i/>
                <w:sz w:val="16"/>
              </w:rPr>
              <w:t>подпись</w:t>
            </w:r>
          </w:p>
        </w:tc>
        <w:tc>
          <w:tcPr>
            <w:tcW w:type="dxa" w:w="2835"/>
            <w:vAlign w:val="center"/>
            <w:tcBorders>
              <w:top w:val="nil"/>
              <w:left w:val="nil"/>
              <w:bottom w:val="nil"/>
              <w:right w:val="nil"/>
            </w:tcBorders>
          </w:tcPr>
          <w:p>
            <w:pPr>
              <w:ind w:firstLine="0"/>
              <w:jc w:val="center"/>
            </w:pPr>
            <w:r>
              <w:rPr>
                <w:i/>
                <w:sz w:val="16"/>
              </w:rPr>
            </w:r>
          </w:p>
        </w:tc>
      </w:tr>
    </w:tbl>
    <w:sectPr w:rsidR="00FC693F" w:rsidRPr="0006063C" w:rsidSect="00034616">
      <w:headerReference w:type="default" r:id="rId9"/>
      <w:footerReference w:type="default" r:id="rId10"/>
      <w:pgSz w:w="12240" w:h="15840"/>
      <w:pgMar w:top="1134" w:right="850" w:bottom="1020"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5A5A5A"/>
        <w:sz w:val="16"/>
      </w:rPr>
      <w:t xml:space="preserve">Актуально на 17 июля 2026 года  •  Страница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color w:val="41556E"/>
        <w:sz w:val="16"/>
      </w:rPr>
      <w:t>ZOTOWA.RU  |  БИБЛИОТЕКА ДОКУМЕНТОВ</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ind w:firstLine="709"/>
      <w:jc w:val="both"/>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40"/>
      <w:ind w:firstLine="0"/>
      <w:outlineLvl w:val="0"/>
    </w:pPr>
    <w:rPr>
      <w:rFonts w:asciiTheme="majorHAnsi" w:eastAsiaTheme="majorEastAsia" w:hAnsiTheme="majorHAnsi" w:cstheme="majorBidi" w:ascii="Times New Roman" w:hAnsi="Times New Roman" w:eastAsia="Times New Roman"/>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before="200"/>
      <w:contextualSpacing/>
      <w:jc w:val="center"/>
    </w:pPr>
    <w:rPr>
      <w:rFonts w:asciiTheme="majorHAnsi" w:eastAsiaTheme="majorEastAsia" w:hAnsiTheme="majorHAnsi" w:cstheme="majorBidi" w:ascii="Times New Roman" w:hAnsi="Times New Roman" w:eastAsia="Times New Roman"/>
      <w:b/>
      <w:color w:val="000000"/>
      <w:spacing w:val="5"/>
      <w:kern w:val="28"/>
      <w:sz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iteNote">
    <w:name w:val="Site Note"/>
    <w:pPr>
      <w:spacing w:before="120" w:after="0"/>
      <w:ind w:firstLine="0"/>
      <w:jc w:val="both"/>
    </w:pPr>
    <w:rPr>
      <w:rFonts w:ascii="Times New Roman" w:hAnsi="Times New Roman" w:eastAsia="Times New Roman"/>
      <w:i/>
      <w:color w:val="464646"/>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