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ind w:firstLine="0"/>
        <w:jc w:val="right"/>
      </w:pPr>
      <w:r>
        <w:rPr>
          <w:sz w:val="22"/>
        </w:rPr>
        <w:t>В Арбитражный суд города Москвы</w:t>
      </w:r>
    </w:p>
    <w:p>
      <w:pPr>
        <w:spacing w:line="240" w:lineRule="auto"/>
        <w:ind w:firstLine="0"/>
        <w:jc w:val="right"/>
      </w:pPr>
      <w:r>
        <w:rPr>
          <w:sz w:val="22"/>
        </w:rPr>
        <w:t>115225, г. Москва, ул. Большая Тульская, д. 17</w:t>
      </w:r>
    </w:p>
    <w:p>
      <w:pPr>
        <w:spacing w:line="240" w:lineRule="auto"/>
        <w:ind w:firstLine="0"/>
        <w:jc w:val="right"/>
      </w:pPr>
      <w:r>
        <w:rPr>
          <w:sz w:val="22"/>
        </w:rPr>
        <w:t>Дело № [А40-________/20__]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Должник: [Ф.И.О. полностью]</w:t>
      </w:r>
    </w:p>
    <w:p>
      <w:pPr>
        <w:spacing w:line="240" w:lineRule="auto"/>
        <w:ind w:firstLine="0"/>
        <w:jc w:val="right"/>
      </w:pPr>
      <w:r>
        <w:rPr>
          <w:sz w:val="22"/>
        </w:rPr>
        <w:t>дата рождения: [дд.мм.гггг]</w:t>
      </w:r>
    </w:p>
    <w:p>
      <w:pPr>
        <w:spacing w:line="240" w:lineRule="auto"/>
        <w:ind w:firstLine="0"/>
        <w:jc w:val="right"/>
      </w:pPr>
      <w:r>
        <w:rPr>
          <w:sz w:val="22"/>
        </w:rPr>
        <w:t>место рождения: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 регистрации: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ИНН: [указать], СНИЛС: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телефон: [указать], e-mail: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Финансовый управляющий: [Ф.И.О.]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 для корреспонденции: [указать]</w:t>
      </w:r>
    </w:p>
    <w:p>
      <w:pPr>
        <w:pStyle w:val="Title"/>
      </w:pPr>
      <w:r>
        <w:t>ВОЗРАЖЕНИЯ ПРОТИВ ПРОДЛЕНИЯ ПРОЦЕДУРЫ РЕАЛИЗАЦИИ ИМУЩЕСТВА ГРАЖДАНИНА</w:t>
      </w:r>
    </w:p>
    <w:p>
      <w:pPr>
        <w:ind w:firstLine="709"/>
        <w:jc w:val="both"/>
      </w:pPr>
      <w:r>
        <w:t xml:space="preserve">Финансовым управляющим / кредитором заявлено ходатайство о продлении процедуры реализации имущества гражданина на </w:t>
      </w:r>
      <w:r>
        <w:rPr>
          <w:b/>
          <w:shd w:fill="E8EEF5"/>
        </w:rPr>
        <w:t>[срок]</w:t>
      </w:r>
      <w:r>
        <w:t xml:space="preserve"> по мотиву </w:t>
      </w:r>
      <w:r>
        <w:rPr>
          <w:b/>
          <w:shd w:fill="E8EEF5"/>
        </w:rPr>
        <w:t>[указать]</w:t>
      </w:r>
      <w:r>
        <w:t>. Должник возражает против продления, поскольку заявителем не приведены конкретные мероприятия, для проведения которых объективно необходим дополнительный срок.</w:t>
      </w:r>
    </w:p>
    <w:p>
      <w:pPr>
        <w:pStyle w:val="Heading1"/>
      </w:pPr>
      <w:r>
        <w:t>1. Основные мероприятия процедуры завершены</w:t>
      </w:r>
    </w:p>
    <w:p>
      <w:pPr>
        <w:ind w:left="397" w:hanging="397"/>
        <w:jc w:val="both"/>
      </w:pPr>
      <w:r>
        <w:rPr>
          <w:b/>
        </w:rPr>
        <w:t xml:space="preserve">1. </w:t>
      </w:r>
      <w:r>
        <w:t>конкурсная масса сформирована;</w:t>
      </w:r>
    </w:p>
    <w:p>
      <w:pPr>
        <w:ind w:left="397" w:hanging="397"/>
        <w:jc w:val="both"/>
      </w:pPr>
      <w:r>
        <w:rPr>
          <w:b/>
        </w:rPr>
        <w:t xml:space="preserve">2. </w:t>
      </w:r>
      <w:r>
        <w:t>запросы в государственные органы и банки направлены, ответы получены;</w:t>
      </w:r>
    </w:p>
    <w:p>
      <w:pPr>
        <w:ind w:left="397" w:hanging="397"/>
        <w:jc w:val="both"/>
      </w:pPr>
      <w:r>
        <w:rPr>
          <w:b/>
        </w:rPr>
        <w:t xml:space="preserve">3. </w:t>
      </w:r>
      <w:r>
        <w:t xml:space="preserve">имущество </w:t>
      </w:r>
      <w:r>
        <w:rPr>
          <w:b/>
          <w:shd w:fill="E8EEF5"/>
        </w:rPr>
        <w:t>[реализовано / отсутствует]</w:t>
      </w:r>
      <w:r>
        <w:t>;</w:t>
      </w:r>
    </w:p>
    <w:p>
      <w:pPr>
        <w:ind w:left="397" w:hanging="397"/>
        <w:jc w:val="both"/>
      </w:pPr>
      <w:r>
        <w:rPr>
          <w:b/>
        </w:rPr>
        <w:t xml:space="preserve">4. </w:t>
      </w:r>
      <w:r>
        <w:t>реестр требований кредиторов сформирован;</w:t>
      </w:r>
    </w:p>
    <w:p>
      <w:pPr>
        <w:ind w:left="397" w:hanging="397"/>
        <w:jc w:val="both"/>
      </w:pPr>
      <w:r>
        <w:rPr>
          <w:b/>
        </w:rPr>
        <w:t xml:space="preserve">5. </w:t>
      </w:r>
      <w:r>
        <w:t>расчеты с кредиторами и текущими кредиторами произведены в возможном объеме;</w:t>
      </w:r>
    </w:p>
    <w:p>
      <w:pPr>
        <w:ind w:left="397" w:hanging="397"/>
        <w:jc w:val="both"/>
      </w:pPr>
      <w:r>
        <w:rPr>
          <w:b/>
        </w:rPr>
        <w:t xml:space="preserve">6. </w:t>
      </w:r>
      <w:r>
        <w:t>обособленные споры завершены либо не препятствуют окончанию процедуры.</w:t>
      </w:r>
    </w:p>
    <w:p>
      <w:pPr>
        <w:pStyle w:val="Heading1"/>
      </w:pPr>
      <w:r>
        <w:t>2. Продление должно иметь конкретную цель</w:t>
      </w:r>
    </w:p>
    <w:p>
      <w:pPr>
        <w:ind w:firstLine="709"/>
        <w:jc w:val="both"/>
      </w:pPr>
      <w:r>
        <w:t>Продление процедуры не может использоваться исключительно для ожидания неопределенных событий, повторения уже проведенных проверок либо сохранения процедуры без перспективы пополнения конкурсной массы. В ходатайстве не указаны имущество, требование, сделка или иной актив, выявление либо реализация которых вероятны в дополнительный период.</w:t>
      </w:r>
    </w:p>
    <w:p>
      <w:pPr>
        <w:ind w:firstLine="709"/>
        <w:jc w:val="both"/>
      </w:pPr>
      <w:r>
        <w:t xml:space="preserve">Предполагаемые мероприятия </w:t>
      </w:r>
      <w:r>
        <w:rPr>
          <w:b/>
          <w:shd w:fill="E8EEF5"/>
        </w:rPr>
        <w:t>[указать]</w:t>
      </w:r>
      <w:r>
        <w:t xml:space="preserve"> могли быть совершены ранее в пределах уже предоставленного срока. Причины их несвоевременного проведения и ожидаемый экономический результат не раскрыты.</w:t>
      </w:r>
    </w:p>
    <w:p>
      <w:pPr>
        <w:pStyle w:val="Heading1"/>
      </w:pPr>
      <w:r>
        <w:t>3. Продление нарушает баланс интересов</w:t>
      </w:r>
    </w:p>
    <w:p>
      <w:pPr>
        <w:ind w:firstLine="709"/>
        <w:jc w:val="both"/>
      </w:pPr>
      <w:r>
        <w:t>Необоснованное сохранение процедуры ограничивает права должника, увеличивает текущие расходы и не создает преимущества для кредиторов. При отсутствии реальной цели оно противоречит принципам процессуальной экономии и рассмотрения дела в разумный срок.</w:t>
      </w:r>
    </w:p>
    <w:p>
      <w:pPr>
        <w:pStyle w:val="Heading1"/>
      </w:pPr>
      <w:r>
        <w:t>На основании изложенного прошу суд:</w:t>
      </w:r>
    </w:p>
    <w:p>
      <w:pPr>
        <w:ind w:left="397" w:hanging="397"/>
        <w:jc w:val="both"/>
      </w:pPr>
      <w:r>
        <w:rPr>
          <w:b/>
        </w:rPr>
        <w:t xml:space="preserve">1. </w:t>
      </w:r>
      <w:r>
        <w:t>отказать в удовлетворении ходатайства о продлении процедуры реализации имущества гражданина;</w:t>
      </w:r>
    </w:p>
    <w:p>
      <w:pPr>
        <w:ind w:left="397" w:hanging="397"/>
        <w:jc w:val="both"/>
      </w:pPr>
      <w:r>
        <w:rPr>
          <w:b/>
        </w:rPr>
        <w:t xml:space="preserve">2. </w:t>
      </w:r>
      <w:r>
        <w:t>рассмотреть отчет финансового управляющего по существу;</w:t>
      </w:r>
    </w:p>
    <w:p>
      <w:pPr>
        <w:ind w:left="397" w:hanging="397"/>
        <w:jc w:val="both"/>
      </w:pPr>
      <w:r>
        <w:rPr>
          <w:b/>
        </w:rPr>
        <w:t xml:space="preserve">3. </w:t>
      </w:r>
      <w:r>
        <w:t>завершить процедуру реализации имущества и разрешить вопрос об освобождении должника от обязательств.</w:t>
      </w:r>
    </w:p>
    <w:p>
      <w:pPr>
        <w:pStyle w:val="Heading1"/>
      </w:pPr>
      <w:r>
        <w:t>Приложения:</w:t>
      </w:r>
    </w:p>
    <w:p>
      <w:pPr>
        <w:spacing w:line="276" w:lineRule="auto"/>
        <w:ind w:left="397" w:hanging="397"/>
      </w:pPr>
      <w:r>
        <w:t>1. Копия оспариваемого ходатайства о продлении.</w:t>
      </w:r>
    </w:p>
    <w:p>
      <w:pPr>
        <w:spacing w:line="276" w:lineRule="auto"/>
        <w:ind w:left="397" w:hanging="397"/>
      </w:pPr>
      <w:r>
        <w:t>2. Документы, подтверждающие завершение мероприятий процедуры.</w:t>
      </w:r>
    </w:p>
    <w:p>
      <w:pPr>
        <w:spacing w:line="276" w:lineRule="auto"/>
        <w:ind w:left="397" w:hanging="397"/>
      </w:pPr>
      <w:r>
        <w:t>3. Переписка с финансовым управляющим.</w:t>
      </w:r>
    </w:p>
    <w:p>
      <w:pPr>
        <w:spacing w:line="276" w:lineRule="auto"/>
        <w:ind w:left="397" w:hanging="397"/>
      </w:pPr>
      <w:r>
        <w:t>4. Доказательства направления возражений лицам, участвующим в деле.</w:t>
      </w:r>
    </w:p>
    <w:p>
      <w:pPr>
        <w:pStyle w:val="SiteNote"/>
      </w:pPr>
      <w:r>
        <w:t>Важно: освобождение от обязательств не распространяется на требования, прямо перечисленные в пунктах 4-6 статьи 213.28 Федерального закона «О несостоятельности (банкротстве)», а также на иные требования, которые по закону сохраняют силу после завершения банкротства.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Должник</w:t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____________ / [Ф.И.О.]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«___» __________ 20__ г.</w:t>
            </w:r>
          </w:p>
        </w:tc>
      </w:tr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850" w:bottom="1020" w:left="170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5A5A5A"/>
        <w:sz w:val="16"/>
      </w:rPr>
      <w:t xml:space="preserve">Актуально на 17 июля 2026 года  •  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color w:val="41556E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40"/>
      <w:ind w:firstLine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 w:before="200"/>
      <w:contextualSpacing/>
      <w:jc w:val="center"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iteNote">
    <w:name w:val="Site Note"/>
    <w:pPr>
      <w:spacing w:before="120" w:after="0"/>
      <w:ind w:firstLine="0"/>
      <w:jc w:val="both"/>
    </w:pPr>
    <w:rPr>
      <w:rFonts w:ascii="Times New Roman" w:hAnsi="Times New Roman" w:eastAsia="Times New Roman"/>
      <w:i/>
      <w:color w:val="46464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