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ХОДАТАЙСТВО О ЗАВЕРШЕНИИ ПРОЦЕДУРЫ РЕАЛИЗАЦИИ ИМУЩЕСТВА ГРАЖДАНИНА</w:t>
      </w:r>
    </w:p>
    <w:p>
      <w:pPr>
        <w:ind w:firstLine="709"/>
        <w:jc w:val="both"/>
      </w:pPr>
      <w:r>
        <w:t xml:space="preserve">Решением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 дела]</w:t>
      </w:r>
      <w:r>
        <w:t xml:space="preserve"> гражданин </w:t>
      </w:r>
      <w:r>
        <w:rPr>
          <w:b/>
          <w:shd w:fill="E8EEF5"/>
        </w:rPr>
        <w:t>[Ф.И.О.]</w:t>
      </w:r>
      <w:r>
        <w:t xml:space="preserve"> признан несостоятельным (банкротом), в отношении него введена процедура реализации имущества гражданина, финансовым управляющим утвержден </w:t>
      </w:r>
      <w:r>
        <w:rPr>
          <w:b/>
          <w:shd w:fill="E8EEF5"/>
        </w:rPr>
        <w:t>[Ф.И.О.]</w:t>
      </w:r>
      <w:r>
        <w:t>.</w:t>
      </w:r>
    </w:p>
    <w:p>
      <w:pPr>
        <w:ind w:firstLine="709"/>
        <w:jc w:val="both"/>
      </w:pPr>
      <w:r>
        <w:t xml:space="preserve">Установленный судом срок процедуры истек / истекает </w:t>
      </w:r>
      <w:r>
        <w:rPr>
          <w:b/>
          <w:shd w:fill="E8EEF5"/>
        </w:rPr>
        <w:t>[дата]</w:t>
      </w:r>
      <w:r>
        <w:t>. Финансовым управляющим проведены мероприятия, необходимые для формирования конкурсной массы, выявления имущества и обязательств должника, проверки совершенных им сделок, ведения реестра требований кредиторов и расчетов с кредиторами.</w:t>
      </w:r>
    </w:p>
    <w:p>
      <w:pPr>
        <w:pStyle w:val="Heading1"/>
      </w:pPr>
      <w:r>
        <w:t>Обстоятельства, подтверждающие завершение процедуры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сведения об имуществе, доходах, банковских счетах и обязательствах должника финансовому управляющему переданы в полном объеме;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запросы в регистрирующие органы и кредитные организации направлены, ответы получены и проанализированы;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имущество, подлежащее включению в конкурсную массу, </w:t>
      </w:r>
      <w:r>
        <w:rPr>
          <w:b/>
          <w:shd w:fill="E8EEF5"/>
        </w:rPr>
        <w:t>[реализовано / отсутствует]</w:t>
      </w:r>
      <w:r>
        <w:t>; расчеты произведены в пределах сформированной конкурсной массы;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 xml:space="preserve">вопросы об оспаривании сделок и привлечении третьих лиц к ответственности </w:t>
      </w:r>
      <w:r>
        <w:rPr>
          <w:b/>
          <w:shd w:fill="E8EEF5"/>
        </w:rPr>
        <w:t>[разрешены / основания для обращения отсутствуют]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текущие расходы процедуры учтены, отчет финансового управляющего и реестр требований кредиторов представлены в суд;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неоконченных мероприятий, способных привести к существенному пополнению конкурсной массы, не имеется.</w:t>
      </w:r>
    </w:p>
    <w:p>
      <w:pPr>
        <w:ind w:firstLine="709"/>
        <w:jc w:val="both"/>
      </w:pPr>
      <w:r>
        <w:t>Само по себе наличие непогашенных требований кредиторов не препятствует завершению реализации имущества, если все предусмотренные законом мероприятия выполнены, а дальнейшее продление не имеет конкретной экономической цели.</w:t>
      </w:r>
    </w:p>
    <w:p>
      <w:pPr>
        <w:ind w:firstLine="709"/>
        <w:jc w:val="both"/>
      </w:pPr>
      <w:r>
        <w:t>В соответствии с пунктами 1-3 статьи 213.28 Федерального закона от 26.10.2002 № 127-ФЗ «О несостоятельности (банкротстве)» после завершения расчетов финансовый управляющий представляет отчет, а суд по итогам его рассмотрения выносит определение о завершении реализации имущества гражданина и разрешает вопрос об освобождении гражданина от обязательств.</w:t>
      </w:r>
    </w:p>
    <w:p>
      <w:pPr>
        <w:pStyle w:val="Heading1"/>
      </w:pPr>
      <w:r>
        <w:t>На основании изложенного 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завершить процедуру реализации имущества гражданина </w:t>
      </w:r>
      <w:r>
        <w:rPr>
          <w:b/>
          <w:shd w:fill="E8EEF5"/>
        </w:rPr>
        <w:t>[Ф.И.О.]</w:t>
      </w:r>
      <w:r>
        <w:t xml:space="preserve"> по делу № </w:t>
      </w:r>
      <w:r>
        <w:rPr>
          <w:b/>
          <w:shd w:fill="E8EEF5"/>
        </w:rPr>
        <w:t>[номер дела]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освободить </w:t>
      </w:r>
      <w:r>
        <w:rPr>
          <w:b/>
          <w:shd w:fill="E8EEF5"/>
        </w:rPr>
        <w:t>[Ф.И.О.]</w:t>
      </w:r>
      <w:r>
        <w:t xml:space="preserve"> от дальнейшего исполнения требований кредиторов в соответствии с пунктом 3 статьи 213.28 Закона о банкротстве, за исключением требований, на которые освобождение по закону не распространяется;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прекратить полномочия финансового управляющего после завершения процедуры в установленном законом порядке.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Копия отчета финансового управляющего (при наличии у должника).</w:t>
      </w:r>
    </w:p>
    <w:p>
      <w:pPr>
        <w:spacing w:line="276" w:lineRule="auto"/>
        <w:ind w:left="397" w:hanging="397"/>
      </w:pPr>
      <w:r>
        <w:t>2. Документы о передаче финансовому управляющему запрошенных сведений.</w:t>
      </w:r>
    </w:p>
    <w:p>
      <w:pPr>
        <w:spacing w:line="276" w:lineRule="auto"/>
        <w:ind w:left="397" w:hanging="397"/>
      </w:pPr>
      <w:r>
        <w:t>3. Копии судебных актов по обособленным спорам (при наличии).</w:t>
      </w:r>
    </w:p>
    <w:p>
      <w:pPr>
        <w:spacing w:line="276" w:lineRule="auto"/>
        <w:ind w:left="397" w:hanging="397"/>
      </w:pPr>
      <w:r>
        <w:t>4. Документы, подтверждающие направление ходатайства лицам, участвующим в деле.</w:t>
      </w:r>
    </w:p>
    <w:p>
      <w:pPr>
        <w:spacing w:line="276" w:lineRule="auto"/>
        <w:ind w:left="397" w:hanging="397"/>
      </w:pPr>
      <w:r>
        <w:t>5. Иные документы, подтверждающие завершение мероприятий процедуры.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