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19"/>
              </w:rPr>
              <w:t>В Управление Федеральной службы государственной регистрации, кадастра и картографии по [субъекту РФ]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19"/>
              </w:rPr>
            </w:r>
            <w:r>
              <w:br/>
            </w:r>
            <w:r>
              <w:rPr>
                <w:rFonts w:ascii="Times New Roman" w:hAnsi="Times New Roman"/>
                <w:sz w:val="19"/>
              </w:rPr>
              <w:t>по делу о банкротстве гражданина [Ф.И.О.]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19"/>
              </w:rPr>
            </w:r>
            <w:r>
              <w:br/>
            </w:r>
            <w:r>
              <w:rPr>
                <w:rFonts w:ascii="Times New Roman" w:hAnsi="Times New Roman"/>
                <w:b/>
                <w:sz w:val="19"/>
              </w:rPr>
              <w:t>От: [должника / конкурсного кредитора] [Ф.И.О. / наименование]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телефон: [________]</w:t>
            </w:r>
          </w:p>
        </w:tc>
      </w:tr>
    </w:tbl>
    <w:p/>
    <w:p>
      <w:pPr>
        <w:pStyle w:val="DocTitle"/>
      </w:pPr>
      <w:r>
        <w:t>ЖАЛОБА В УПРАВЛЕНИЕ РОСРЕЕСТРА НА НАРУШЕНИЕ ФИНАНСОВЫМ УПРАВЛЯЮЩИМ ТРЕБОВАНИЙ ЗАКОНОДАТЕЛЬСТВА</w:t>
      </w:r>
    </w:p>
    <w:p>
      <w:r>
        <w:t>Арбитражный управляющий [Ф.И.О., регистрационный номер], член [наименование СРО], утвержден финансовым управляющим в деле № [номер] о банкротстве гражданина [Ф.И.О.]. В его действиях (бездействии) усматриваются признаки нарушения законодательства о несостоятельности и административного правонарушения, предусмотренного статьей 14.13 Кодекса Российской Федерации об административных правонарушениях.</w:t>
      </w:r>
    </w:p>
    <w:p>
      <w:r>
        <w:t>Фактические обстоятельства: [последовательно изложить даты, обязанность, действие или бездействие, обращение заявителя, ответ управляющего и последствия]. Нарушение подтверждается [определениями суда, отчетами, публикациями ЕФРСБ, перепиской, банковскими документами].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Орган по контролю (надзору) в сфере деятельности арбитражных управляющих вправе проводить проверочные мероприятия, истребовать документы, составлять протоколы об административных правонарушениях и обращаться в арбитражный суд в пределах компетенции. Территориальное управление Росреестра не разрешает имущественный спор и не заменяет арбитражный суд, однако обязано дать оценку соблюдению обязательных требований.</w:t>
      </w:r>
    </w:p>
    <w:p>
      <w:r>
        <w:t>В действиях управляющего усматривается нарушение [конкретные статьи: 20.3, 20.6, 20.7, 28, 60, 213.9, 213.25 Закона о банкротстве; федеральные стандарты; судебный акт]. Нарушение не является малозначительным, поскольку привело или могло привести к [уменьшению конкурсной массы, нарушению прав кредиторов, затягиванию процедуры, сокрытию информации, лишению должника обязательных средств].</w:t>
      </w:r>
    </w:p>
    <w:p>
      <w:r>
        <w:t>Для объективной проверки необходимо истребовать не только объяснения управляющего, но и первичные документы: банковские выписки, договоры, акты, реестр требований, отчеты, подтверждения публикаций, запросы в государственные органы и материалы анализа сделок. При противоречии объяснений фактическим документам приоритет должна иметь проверяемая первичная информация.</w:t>
      </w:r>
    </w:p>
    <w:p>
      <w:r>
        <w:t>Прошу учесть повторность нарушений [если имеется], наличие вступивших в силу судебных актов и ранее выданных предписаний. Если срок давности по отдельному эпизоду истек, прошу дать оценку продолжающимся и более поздним нарушениям, а также направить материалы в СРО и суд в пределах компетенции.</w:t>
      </w:r>
    </w:p>
    <w:p>
      <w:r>
        <w:t>О результатах рассмотрения прошу сообщить письменно и в электронной форме, указав проведенные действия, правовую квалификацию и принятое процессуальное решение. При отказе в возбуждении дела прошу направить копию соответствующего мотивированного определения.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зарегистрировать обращение и провести проверку соблюдения финансовым управляющим [Ф.И.О.] требований законодательства о банкротстве;</w:t>
      </w:r>
    </w:p>
    <w:p>
      <w:pPr>
        <w:pStyle w:val="RequestLine"/>
      </w:pPr>
      <w:r>
        <w:t>2. истребовать материалы процедуры и дать оценку каждому указанному эпизоду;</w:t>
      </w:r>
    </w:p>
    <w:p>
      <w:pPr>
        <w:pStyle w:val="RequestLine"/>
      </w:pPr>
      <w:r>
        <w:t>3. при наличии оснований возбудить дело об административном правонарушении и составить протокол по соответствующей части статьи 14.13 КоАП РФ;</w:t>
      </w:r>
    </w:p>
    <w:p>
      <w:pPr>
        <w:pStyle w:val="RequestLine"/>
      </w:pPr>
      <w:r>
        <w:t>4. рассмотреть вопрос о направлении материалов в СРО финансового управляющего и Арбитражный суд города Москвы;</w:t>
      </w:r>
    </w:p>
    <w:p>
      <w:pPr>
        <w:pStyle w:val="RequestLine"/>
      </w:pPr>
      <w:r>
        <w:t>5. принять меры к пресечению продолжающегося нарушения в пределах компетенции;</w:t>
      </w:r>
    </w:p>
    <w:p>
      <w:pPr>
        <w:pStyle w:val="RequestLine"/>
      </w:pPr>
      <w:r>
        <w:t>6. направить заявителю мотивированный ответ и копии принятых процессуальных решений.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жалобы;</w:t>
      </w:r>
    </w:p>
    <w:p>
      <w:pPr>
        <w:pStyle w:val="RequestLine"/>
      </w:pPr>
      <w:r>
        <w:t>2. определение об утверждении финансового управляющего;</w:t>
      </w:r>
    </w:p>
    <w:p>
      <w:pPr>
        <w:pStyle w:val="RequestLine"/>
      </w:pPr>
      <w:r>
        <w:t>3. судебные акты, отчеты и публикации ЕФРСБ;</w:t>
      </w:r>
    </w:p>
    <w:p>
      <w:pPr>
        <w:pStyle w:val="RequestLine"/>
      </w:pPr>
      <w:r>
        <w:t>4. запросы управляющему и ответы;</w:t>
      </w:r>
    </w:p>
    <w:p>
      <w:pPr>
        <w:pStyle w:val="RequestLine"/>
      </w:pPr>
      <w:r>
        <w:t>5. банковские и иные первичные документы;</w:t>
      </w:r>
    </w:p>
    <w:p>
      <w:pPr>
        <w:pStyle w:val="RequestLine"/>
      </w:pPr>
      <w:r>
        <w:t>6. ответ СРО при наличии;</w:t>
      </w:r>
    </w:p>
    <w:p>
      <w:pPr>
        <w:pStyle w:val="RequestLine"/>
      </w:pPr>
      <w:r>
        <w:t>7. доверенность;</w:t>
      </w:r>
    </w:p>
    <w:p>
      <w:pPr>
        <w:pStyle w:val="RequestLine"/>
      </w:pPr>
      <w:r>
        <w:t>8. опись приложений.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37" w:right="1020" w:bottom="692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40" w:lineRule="auto" w:after="10"/>
      <w:ind w:firstLine="709"/>
      <w:jc w:val="both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120"/>
      <w:jc w:val="center"/>
    </w:pPr>
    <w:rPr>
      <w:rFonts w:ascii="Arial" w:hAnsi="Arial" w:eastAsia="Arial"/>
      <w:b/>
      <w:color w:val="17365D"/>
      <w:sz w:val="28"/>
    </w:rPr>
  </w:style>
  <w:style w:type="paragraph" w:customStyle="1" w:styleId="RequestLine">
    <w:name w:val="RequestLine"/>
    <w:pPr>
      <w:spacing w:after="10" w:line="240" w:lineRule="auto"/>
      <w:ind w:left="454" w:hanging="312"/>
      <w:jc w:val="both"/>
    </w:pPr>
    <w:rPr>
      <w:rFonts w:ascii="Times New Roman" w:hAnsi="Times New Roman" w:eastAsia="Times New Roman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