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21"/>
              </w:rPr>
              <w:t>В [полное наименование СРО арбитражных управляющих]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по делу о банкротстве гражданина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b/>
                <w:sz w:val="21"/>
              </w:rPr>
              <w:t>От: [должника / конкурсного кредитора] [Ф.И.О. / наименование]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телефон: [________]</w:t>
            </w:r>
          </w:p>
        </w:tc>
      </w:tr>
    </w:tbl>
    <w:p/>
    <w:p>
      <w:pPr>
        <w:pStyle w:val="DocTitle"/>
      </w:pPr>
      <w:r>
        <w:t>ЖАЛОБА В САМОРЕГУЛИРУЕМУЮ ОРГАНИЗАЦИЮ АРБИТРАЖНЫХ УПРАВЛЯЮЩИХ</w:t>
      </w:r>
    </w:p>
    <w:p>
      <w:r>
        <w:t>Членом вашей саморегулируемой организации является арбитражный управляющий [Ф.И.О., регистрационный номер], утвержденный финансовым управляющим в деле № [номер] о банкротстве гражданина [Ф.И.О.]. Настоящая жалоба касается соблюдения им требований законодательства, федеральных стандартов и внутренних правил СРО.</w:t>
      </w:r>
    </w:p>
    <w:p>
      <w:r>
        <w:t>Нарушения выражаются в следующем: [подробный перечень с датами]. Заявитель направлял управляющему обращения от [даты], однако [ответ не получен / нарушение не устранено]. Документы, подтверждающие обстоятельства, прилагаются.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Закон о банкротстве возлагает на саморегулируемую организацию обязанность контролировать профессиональную деятельность своих членов, рассматривать жалобы и применять меры дисциплинарного воздействия при наличии оснований. Для осуществления контроля СРО формирует специализированное подразделение и дисциплинарные органы.</w:t>
      </w:r>
    </w:p>
    <w:p>
      <w:r>
        <w:t>Проверка должна охватывать не только формальное наличие документов, но и соответствие поведения управляющего стандарту разумности и добросовестности: своевременность запросов, полноту отчетов, сохранность конкурсной массы, обоснованность расходов, отсутствие конфликта интересов, соблюдение порядка раскрытия информации и исполнение судебных актов.</w:t>
      </w:r>
    </w:p>
    <w:p>
      <w:r>
        <w:t>Особое внимание прошу уделить [пропуску срока оспаривания сделки / непрозрачному расходованию средств / связи с привлеченным лицом / удержанию документов / нарушению прав должника на обязательные расходы / непроведению собрания кредиторов]. Эти обстоятельства могут свидетельствовать о системном нарушении, а не об отдельной технической ошибке.</w:t>
      </w:r>
    </w:p>
    <w:p>
      <w:r>
        <w:t>Проверка СРО не заменяет судебное обжалование и производство по делу об административном правонарушении, но должна дать самостоятельную оценку поведения члена организации. Прошу не ограничиваться пересылкой объяснений управляющего, а истребовать отчет, банковские документы, договоры, акты, переписку и материалы внутреннего контроля.</w:t>
      </w:r>
    </w:p>
    <w:p>
      <w:r>
        <w:t>В случае подтверждения нарушений необходимо рассмотреть вопрос о дисциплинарной ответственности, выдаче обязательного предписания, контроле устранения нарушения и направлении позиции СРО в арбитражный суд. Заявитель просит предоставить копию итогового решения и сведения о порядке его обжалования.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ПРОШУ:</w:t>
      </w:r>
    </w:p>
    <w:p>
      <w:pPr>
        <w:pStyle w:val="RequestLine"/>
      </w:pPr>
      <w:r>
        <w:t>1. зарегистрировать жалобу и провести внеплановую проверку деятельности арбитражного управляющего [Ф.И.О.] в указанном деле;</w:t>
      </w:r>
    </w:p>
    <w:p>
      <w:pPr>
        <w:pStyle w:val="RequestLine"/>
      </w:pPr>
      <w:r>
        <w:t>2. истребовать у управляющего отчет, первичные документы, банковские выписки, договоры и письменные объяснения;</w:t>
      </w:r>
    </w:p>
    <w:p>
      <w:pPr>
        <w:pStyle w:val="RequestLine"/>
      </w:pPr>
      <w:r>
        <w:t>3. дать оценку каждому изложенному нарушению с указанием применимых норм и стандартов;</w:t>
      </w:r>
    </w:p>
    <w:p>
      <w:pPr>
        <w:pStyle w:val="RequestLine"/>
      </w:pPr>
      <w:r>
        <w:t>4. при подтверждении нарушений привлечь управляющего к дисциплинарной ответственности и выдать предписание об их устранении;</w:t>
      </w:r>
    </w:p>
    <w:p>
      <w:pPr>
        <w:pStyle w:val="RequestLine"/>
      </w:pPr>
      <w:r>
        <w:t>5. рассмотреть вопрос о направлении в арбитражный суд ходатайства или заключения, если нарушения препятствуют дальнейшему исполнению полномочий;</w:t>
      </w:r>
    </w:p>
    <w:p>
      <w:pPr>
        <w:pStyle w:val="RequestLine"/>
      </w:pPr>
      <w:r>
        <w:t>6. направить заявителю мотивированное решение, копию заключения проверки и сведения о принятых мерах в установленный срок.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копия жалобы;</w:t>
      </w:r>
    </w:p>
    <w:p>
      <w:pPr>
        <w:pStyle w:val="RequestLine"/>
      </w:pPr>
      <w:r>
        <w:t>2. определение суда об утверждении финансового управляющего;</w:t>
      </w:r>
    </w:p>
    <w:p>
      <w:pPr>
        <w:pStyle w:val="RequestLine"/>
      </w:pPr>
      <w:r>
        <w:t>3. обращения к управляющему и ответы;</w:t>
      </w:r>
    </w:p>
    <w:p>
      <w:pPr>
        <w:pStyle w:val="RequestLine"/>
      </w:pPr>
      <w:r>
        <w:t>4. отчеты, выписки и иные доказательства нарушений;</w:t>
      </w:r>
    </w:p>
    <w:p>
      <w:pPr>
        <w:pStyle w:val="RequestLine"/>
      </w:pPr>
      <w:r>
        <w:t>5. судебные акты по жалобам при наличии;</w:t>
      </w:r>
    </w:p>
    <w:p>
      <w:pPr>
        <w:pStyle w:val="RequestLine"/>
      </w:pPr>
      <w:r>
        <w:t>6. доверенность представителя;</w:t>
      </w:r>
    </w:p>
    <w:p>
      <w:pPr>
        <w:pStyle w:val="RequestLine"/>
      </w:pPr>
      <w:r>
        <w:t>7. опись приложений.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5" w:right="1020" w:bottom="907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69" w:lineRule="auto" w:after="10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240"/>
      <w:jc w:val="center"/>
    </w:pPr>
    <w:rPr>
      <w:rFonts w:ascii="Arial" w:hAnsi="Arial" w:eastAsia="Arial"/>
      <w:b/>
      <w:color w:val="17365D"/>
      <w:sz w:val="29"/>
    </w:rPr>
  </w:style>
  <w:style w:type="paragraph" w:customStyle="1" w:styleId="RequestLine">
    <w:name w:val="RequestLine"/>
    <w:pPr>
      <w:spacing w:after="100" w:line="259" w:lineRule="auto"/>
      <w:ind w:left="454" w:hanging="312"/>
      <w:jc w:val="both"/>
    </w:pPr>
    <w:rPr>
      <w:rFonts w:ascii="Times New Roman" w:hAns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