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АЛИМЕНТОВ В ТВЁРДОЙ ДЕНЕЖНОЙ СУММЕ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Твёрдая сумма определяется с учётом максимально возможного сохранения прежнего уровня обеспечения ребёнка и обычно индексируется пропорционально росту прожиточного минимума для детей в соответствующем субъекте.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алименты в твёрдой денежной сумме [кратность прожиточного минимума / сумма] ежемесячно с индексацией.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в твёрдой денежной сумме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