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РАСТОРЖЕНИИ БРАЧНОГО ДОГОВОРА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состоят / состояли в зарегистрированном браке с [дата]. Они намерены определить имущественные последствия брака и его прекращения без неопределённости и последующих споров.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Перечень имущества, прав, долгов, оценка, сроки передачи и компенсации согласованы в приложениях. Стороны раскрыли друг другу существенные сведения и подтверждают добровольность волеизъявления.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Брачный договор заключается в письменной форме и нотариально удостоверяется. Статьи 40–44 СК РФ позволяют определить режим имеющегося и будущего имущества, участие в доходах, семейные расходы и имущественные последствия расторжения брака.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Договор не может ограничивать правоспособность, право на обращение в суд, регулировать личные неимущественные отношения и права детей, а также ставить одного супруга в крайне неблагоприятное положение. Изменение и расторжение совершаются в той же форме.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добровольность и дееспособность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полнота раскрытия имущества и обязательств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соответствие условий ограничениям статьи 42 СК РФ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нотариальная форма и отсутствие нарушения прав третьих лиц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Изменить / расторгнуть брачный договор от [дата] в указанной части.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Определить последствия изменения / расторжения для имущества и обязательств сторон.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сведения о браке и личности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перечень имущества и обязательств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правоустанавливающие и кредитные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отчёты об оценке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расторжении брачного договора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