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ИЗМЕНЕНИИ БРАЧНОГО ДОГОВОРА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состоят / состояли в зарегистрированном браке с [дата]. Они намерены определить имущественные последствия брака и его прекращения без неопределённости и последующих споров.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Перечень имущества, прав, долгов, оценка, сроки передачи и компенсации согласованы в приложениях. Стороны раскрыли друг другу существенные сведения и подтверждают добровольность волеизъявления.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Брачный договор заключается в письменной форме и нотариально удостоверяется. Статьи 40–44 СК РФ позволяют определить режим имеющегося и будущего имущества, участие в доходах, семейные расходы и имущественные последствия расторжения брака.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Договор не может ограничивать правоспособность, право на обращение в суд, регулировать личные неимущественные отношения и права детей, а также ставить одного супруга в крайне неблагоприятное положение. Изменение и расторжение совершаются в той же форме.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добровольность и дееспособность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полнота раскрытия имущества и обязательств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соответствие условий ограничениям статьи 42 СК РФ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нотариальная форма и отсутствие нарушения прав третьих лиц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Изменить / расторгнуть брачный договор от [дата] в указанной части.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Определить последствия изменения / расторжения для имущества и обязательств сторон.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сведения о браке и личности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перечень имущества и обязательств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правоустанавливающие и кредитные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отчёты об оценке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изменении брачного договора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