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БРАЧНЫЙ ДОГОВОР ОБ УСТАНОВЛЕНИИ РАЗДЕЛЬНОЙ СОБСТВЕННОСТИ СУПРУГОВ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определяют договорный режим имущества и обязательств в соответствии со статьями 40–44 Семейного кодекса Российской Федерации. Настоящий документ подлежит нотариальному удостоверению.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Брачный договор об установлении раздельной собственности супругов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