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СДЕЛКИ СУПРУГА МНИМОЙ ИЛИ ПРИТВОРНОЙ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совершена «___» __________ 20___ года с [Ф.И.О. / наименование], который [знал / должен был знать] о браке, совместном режиме имущества и отсутствии согласия второго супруга.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недействительной сделку от [дата] в отношении [имущество].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возвратить имущество / восстановить запись / взыскать стоимость.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сделки супруга мнимой или притворной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