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ЗАПРЕТЕ РЕГИСТРАЦИОННЫХ ДЕЙСТВИЙ С АВТОМОБИЛЕМ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силу статей 139–144 ГПК РФ обеспечение иска возможно на любой стадии. Заявитель обязан показать реальную, а не абстрактную угрозу затруднения исполнения и соразмерность конкретной меры.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режим спорного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реальность риска отчуждения или сокрытия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соразмерность обеспечительной меры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недействительности сделки и осведомлённость третьего лица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обеспечительную меру: [арест / запрет регистрационных действий / запрет отчуждения] в отношении [точное описание актива].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[Росреестр / ГИБДД / банк / ФНС].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реального риска отчуждения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точные идентифицирующие сведения об имуществе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запрете регистрационных действий с автомобилем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