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ИСКОВОЕ ЗАЯВЛЕНИЕ О ПРИЗНАНИИ КРЕДИТНОГО ОБЯЗАТЕЛЬСТВА ЛИЧНЫМ ДОЛГОМ ОДНОГО СУПРУГА</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Признать обязательство по договору № [номер] личным обязательством [Ф.И.О.].</w:t>
      </w:r>
    </w:p>
    <w:p>
      <w:pPr>
        <w:spacing w:line="252" w:lineRule="auto" w:after="60"/>
        <w:ind w:left="425" w:hanging="425"/>
        <w:jc w:val="both"/>
      </w:pPr>
      <w:r>
        <w:rPr>
          <w:rFonts w:ascii="Times New Roman" w:hAnsi="Times New Roman" w:eastAsia="Times New Roman"/>
          <w:b w:val="0"/>
          <w:i w:val="0"/>
          <w:sz w:val="24"/>
        </w:rPr>
        <w:t>2. Отказать в его учёте как общего долга при разделе имущества.</w:t>
      </w:r>
    </w:p>
    <w:p>
      <w:pPr>
        <w:spacing w:line="252" w:lineRule="auto" w:after="60"/>
        <w:ind w:left="425" w:hanging="425"/>
        <w:jc w:val="both"/>
      </w:pPr>
      <w:r>
        <w:rPr>
          <w:rFonts w:ascii="Times New Roman" w:hAnsi="Times New Roman" w:eastAsia="Times New Roman"/>
          <w:b w:val="0"/>
          <w:i w:val="0"/>
          <w:sz w:val="24"/>
        </w:rPr>
        <w:t>3.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признании кредитного обязательства личным долгом одного супруга</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