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РАСТОРЖЕНИИ БРАКА, РАЗДЕЛЕ ИМУЩЕСТВА И ВЗЫСКАНИИ АЛИМЕНТОВ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между сторонами зарегистрирован «___» __________ 20___ года, актовая запись № [номер]. Совместная семейная жизнь фактически прекращена с [дата], общее хозяйство не ведётся, совместный бюджет отсутствует.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Причиной прекращения семьи являются [длительный конфликт, раздельное проживание, утрата взаимного доверия, иные обстоятельства]. Сохранение семьи и дальнейшая совместная жизнь невозможны.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сторон имеются общие несовершеннолетние дети: [Ф.И.О., даты рождения]. Вопросы их проживания, содержания и общения [согласованы / остаются спорными] в указанной в заявлении части.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 государственной регистрации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оснований для судебного или административного порядка расторжения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прекращение семейных отношений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общих несовершеннолетних детей и отсутствие препятствий по статье 17 СК РФ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Расторгнуть брак между сторонами.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совместно нажитое имущество по перечню и варианту, приведённым в иске.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алименты на ребёнка [Ф.И.О.] в размере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расторжении брака, разделе имущества и взыскании алиментов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