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КОМПЕНСАЦИИ ЗА ОТЧУЖДЕНИЕ КОРПОРАТИВНОЙ ДОЛИ БЕЗ СОГЛАСИЯ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корпоративный актив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компенсацию стоимости доли истца в размере [сумма] рублей.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компенсации за отчуждение корпоративной доли без согласия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