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ИСКЛЮЧЕНИИ ЛИЧНОГО ИМУЩЕСТВА СУПРУГА ИЗ СОСТАВА ПОДЛЕЖАЩЕГО РАЗДЕЛУ ИМУЩЕСТВА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Личный характер имущества подтверждается тем, что оно приобретено [до брака / в дар / по наследству / за личные средства], а вклад общих средств не изменил его правовой режим либо не был существенным.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личной собственностью истца.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Исключить его из состава имущества, подлежащего разделу.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исключении личного имущества супруга из состава подлежащего разделу имущества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