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ДРАГОЦЕННОСТЕЙ И ПРЕДМЕТОВ РОСКОШИ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Денежные средства, транспорт, инвестиционные и иные имущественные права, приобретённые в период брака, входят в общее имущество супругов, если не доказано основание личной собственности по статье 36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вещь отчуждена вопреки воле другого супруга либо скрыта, при разделе учитывается её действительная стоимость. Стороны представляют сведения о счетах, движении денежных средств, правах на активы, сделках и рыночной стоимости имущества.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принадлежность актива и дата его приобретения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источник денежных средств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наличие, движение или отчуждение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размер компенсации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документы о приобретении и регистрации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банковские / брокерские выписки и сведения о счетах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доказательства продажи или сокрытия имущества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отчёт об оценке и расчёт компенсации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драгоценностей и предметов роскоши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