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РАЗДЕЛЕ ЦИФРОВЫХ ФИНАНСОВЫХ АКТИВОВ И КРИПТОВАЛЮТЫ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Цифровые активы учитывались на [биржа / кошелёк], идентификаторы и транзакции частично подтверждаются электронными данными. Требуются фиксация принадлежности, количества и стоимости на юридически значимую дату.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Денежные средства, транспорт, инвестиционные и иные имущественные права, приобретённые в период брака, входят в общее имущество супругов, если не доказано основание личной собственности по статье 36 СК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вещь отчуждена вопреки воле другого супруга либо скрыта, при разделе учитывается её действительная стоимость. Стороны представляют сведения о счетах, движении денежных средств, правах на активы, сделках и рыночной стоимости имущества.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принадлежность актива и дата его приобретения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источник денежных средств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наличие, движение или отчуждение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размер компенсации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спорное имущество совместно нажитым.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имущество между сторонами по предложенному варианту: [указать передачу объектов, доли и компенсацию].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Прекратить право совместной собственности после исполнения решения.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приобретении и регистрации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банковские / брокерские выписки и сведения о счетах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доказательства продажи или сокрытия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расчёт компенсации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цифровых финансовых активов и криптовалюты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