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ОПРЕДЕЛЕНИИ ПОРЯДКА ПОЛЬЗОВАНИЯ ЖИЛЫМ ПОМЕЩЕНИЕМ ПОСЛЕ РАЗДЕЛА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Определить порядок пользования жилым помещением согласно предложенному варианту: [описание комнат и общих помещений].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определении порядка пользования жилым помещением после раздела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