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ДЕНЕЖНОЙ КОМПЕНСАЦИИ ВМЕСТО ПЕРЕДАЧИ ДОЛИ В НЕДВИЖИМОСТИ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о, приобретённое супругами в период брака за общие доходы, является их совместной собственностью независимо от того, на чьё имя оно оформлено. Правила установлены статьями 33–39 СК РФ и статьёй 256 Г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деле суд определяет состав имущества, источник и время его приобретения, наличие личных вложений, стоимость каждого объекта и способ раздела. По общему правилу доли равны, однако суд может отступить от равенства в случаях, предусмотренных пунктом 2 статьи 39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ремя, источник и основание приобретения недвиж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авовой режим объекта и наличие обремен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техническая делимост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ользование и интересы детей /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ый объект общим имуществом супруго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компенсацию в размере [сумма] рублей, соответствующую доле истц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Н и правоустанавливающ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говор приобретения, кредитные и платёж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тчёт об оценке / сведения о кадастровой сто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технический план и сведения об обремен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денежной компенсации вместо передачи доли в недвижимост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